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06952" w14:textId="15EC5EF4" w:rsidR="006B0292" w:rsidRPr="003759E4" w:rsidRDefault="006B0292" w:rsidP="003759E4">
      <w:pPr>
        <w:pStyle w:val="Heading1"/>
        <w:jc w:val="center"/>
        <w:rPr>
          <w:lang w:val="id-ID"/>
        </w:rPr>
      </w:pPr>
      <w:bookmarkStart w:id="0" w:name="_Toc235560207"/>
      <w:r w:rsidRPr="006B0292">
        <w:rPr>
          <w:lang w:val="id-ID"/>
        </w:rPr>
        <w:t>BAB II</w:t>
      </w:r>
      <w:r w:rsidR="003759E4">
        <w:rPr>
          <w:lang w:val="id-ID"/>
        </w:rPr>
        <w:br/>
      </w:r>
      <w:r w:rsidRPr="006B0292">
        <w:rPr>
          <w:lang w:val="en-US"/>
        </w:rPr>
        <w:t>LANDASAN LITERATUR</w:t>
      </w:r>
      <w:bookmarkEnd w:id="0"/>
    </w:p>
    <w:p w14:paraId="2A400AF0" w14:textId="77777777" w:rsidR="00581DBD" w:rsidRPr="00581DBD" w:rsidRDefault="00581DBD" w:rsidP="00A44E24">
      <w:pPr>
        <w:pStyle w:val="ListParagraph"/>
        <w:numPr>
          <w:ilvl w:val="0"/>
          <w:numId w:val="1"/>
        </w:numPr>
        <w:tabs>
          <w:tab w:val="left" w:pos="567"/>
        </w:tabs>
        <w:ind w:right="0"/>
        <w:outlineLvl w:val="1"/>
        <w:rPr>
          <w:rFonts w:cs="Times New Roman"/>
          <w:b/>
          <w:bCs/>
          <w:vanish/>
          <w:szCs w:val="24"/>
        </w:rPr>
      </w:pPr>
      <w:bookmarkStart w:id="1" w:name="_Toc234580594"/>
      <w:bookmarkStart w:id="2" w:name="_Toc235472675"/>
      <w:bookmarkStart w:id="3" w:name="_Toc235559956"/>
      <w:bookmarkStart w:id="4" w:name="_Toc235560142"/>
      <w:bookmarkStart w:id="5" w:name="_Toc235560208"/>
      <w:bookmarkEnd w:id="1"/>
      <w:bookmarkEnd w:id="2"/>
      <w:bookmarkEnd w:id="3"/>
      <w:bookmarkEnd w:id="4"/>
      <w:bookmarkEnd w:id="5"/>
    </w:p>
    <w:p w14:paraId="0BC1CE05" w14:textId="629E8214" w:rsidR="00B5702E" w:rsidRDefault="00B5702E" w:rsidP="004953B1">
      <w:r>
        <w:rPr>
          <w:lang w:val="en-ID"/>
        </w:rPr>
        <w:tab/>
      </w:r>
      <w:r w:rsidRPr="00B5702E">
        <w:rPr>
          <w:i/>
          <w:iCs/>
        </w:rPr>
        <w:t>Teori Agensi.</w:t>
      </w:r>
      <w:r w:rsidRPr="00B5702E">
        <w:t xml:space="preserve"> Jensen dan Meckling </w:t>
      </w:r>
      <w:r w:rsidR="004953B1">
        <w:fldChar w:fldCharType="begin" w:fldLock="1"/>
      </w:r>
      <w:r w:rsidR="004953B1">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suppress-author":1,"uris":["http://www.mendeley.com/documents/?uuid=433bbc02-dfe4-402b-bf61-e5717d6900a1"]}],"mendeley":{"formattedCitation":"(1976)","plainTextFormattedCitation":"(1976)","previouslyFormattedCitation":"(1976)"},"properties":{"noteIndex":0},"schema":"https://github.com/citation-style-language/schema/raw/master/csl-citation.json"}</w:instrText>
      </w:r>
      <w:r w:rsidR="004953B1">
        <w:fldChar w:fldCharType="separate"/>
      </w:r>
      <w:r w:rsidR="004953B1" w:rsidRPr="004953B1">
        <w:rPr>
          <w:noProof/>
        </w:rPr>
        <w:t>(1976)</w:t>
      </w:r>
      <w:r w:rsidR="004953B1">
        <w:fldChar w:fldCharType="end"/>
      </w:r>
      <w:r w:rsidRPr="00B5702E">
        <w:t xml:space="preserve"> menjelaskan hubungan keagenan yang timbul ketika prinsipal (pemegang saham) menyerahkan wewenang pengambilan keputusan kepada agen (manajemen). Pemisahan ini memunculkan konflik kepentingan dan asimetri informasi, karena manajemen cenderung mengutamakan kepentingan pribadi yang tidak selalu selaras dengan tujuan pemegang saham </w:t>
      </w:r>
      <w:r w:rsidR="004953B1">
        <w:fldChar w:fldCharType="begin" w:fldLock="1"/>
      </w:r>
      <w:r w:rsidR="004953B1">
        <w:instrText>ADDIN CSL_CITATION {"citationItems":[{"id":"ITEM-1","itemData":{"author":[{"dropping-particle":"","family":"Saputri","given":"Sevty Wahiddirani","non-dropping-particle":"","parse-names":false,"suffix":""},{"dropping-particle":"","family":"Oktavianna","given":"Rakhmawati","non-dropping-particle":"","parse-names":false,"suffix":""},{"dropping-particle":"","family":"Benarda","given":"","non-dropping-particle":"","parse-names":false,"suffix":""},{"dropping-particle":"","family":"Rahmadani","given":"Lulu Septia","non-dropping-particle":"","parse-names":false,"suffix":""},{"dropping-particle":"","family":"Nurhaliza","given":"Zihan","non-dropping-particle":"","parse-names":false,"suffix":""}],"id":"ITEM-1","issue":"1","issued":{"date-parts":[["2026"]]},"page":"112-124","title":"Meningkatkan Nilai Perusahaan : Peran Pertumbuhan Penjualan dan Kepemilikan Manajerial dengan Ukuran Perusahaan sebagai Faktor Moderasi","type":"article-journal","volume":"11"},"uris":["http://www.mendeley.com/documents/?uuid=294a3e92-bd1d-477c-b170-706b1ac48221"]}],"mendeley":{"formattedCitation":"(Saputri et al., 2026)","plainTextFormattedCitation":"(Saputri et al., 2026)"},"properties":{"noteIndex":0},"schema":"https://github.com/citation-style-language/schema/raw/master/csl-citation.json"}</w:instrText>
      </w:r>
      <w:r w:rsidR="004953B1">
        <w:fldChar w:fldCharType="separate"/>
      </w:r>
      <w:r w:rsidR="004953B1" w:rsidRPr="004953B1">
        <w:rPr>
          <w:noProof/>
        </w:rPr>
        <w:t>(Saputri et al., 2026)</w:t>
      </w:r>
      <w:r w:rsidR="004953B1">
        <w:fldChar w:fldCharType="end"/>
      </w:r>
      <w:r w:rsidRPr="00B5702E">
        <w:t xml:space="preserve">. Untuk meredam konflik tersebut, teori ini memperkenalkan konsep biaya keagenan — biaya pengawasan, biaya </w:t>
      </w:r>
      <w:r w:rsidRPr="00B5702E">
        <w:rPr>
          <w:i/>
          <w:iCs/>
        </w:rPr>
        <w:t>bonding</w:t>
      </w:r>
      <w:r w:rsidRPr="00B5702E">
        <w:t>, dan kerugian residual — yang mendasari pentingnya mekanisme tata kelola seperti struktur kepemilikan (Aulia et al., 2026).</w:t>
      </w:r>
    </w:p>
    <w:p w14:paraId="4D3E64A1" w14:textId="77777777" w:rsidR="00B5702E" w:rsidRPr="00B5702E" w:rsidRDefault="00B5702E" w:rsidP="004953B1">
      <w:pPr>
        <w:rPr>
          <w:lang w:val="en-ID"/>
        </w:rPr>
      </w:pPr>
      <w:r>
        <w:tab/>
      </w:r>
      <w:r w:rsidRPr="00B5702E">
        <w:rPr>
          <w:i/>
          <w:iCs/>
          <w:lang w:val="en-ID"/>
        </w:rPr>
        <w:t>Corporate Social Responsibility (CSR).</w:t>
      </w:r>
      <w:r w:rsidRPr="00B5702E">
        <w:rPr>
          <w:lang w:val="en-ID"/>
        </w:rPr>
        <w:t xml:space="preserve"> CSR merupakan komitmen perusahaan menyelesaikan dampak sosial-lingkungan dari aktivitas usahanya, baik atas dasar sukarela maupun kewajiban regulasi (UU No. 40/2007). Merujuk pada Carroll (1991, dalam Evans &amp; Kasztelnik, 2025), tanggung jawab ini bertingkat dari aspek ekonomi, hukum, etis, hingga filantropi. Di Indonesia, POJK No. 51/POJK.03/2017 mewajibkan pelaporan keberlanjutan bagi emiten dan lembaga jasa keuangan. Penelitian ini mengukur CSR melalui dimensi </w:t>
      </w:r>
      <w:r w:rsidRPr="00B5702E">
        <w:rPr>
          <w:i/>
          <w:iCs/>
          <w:lang w:val="en-ID"/>
        </w:rPr>
        <w:t>Social</w:t>
      </w:r>
      <w:r w:rsidRPr="00B5702E">
        <w:rPr>
          <w:lang w:val="en-ID"/>
        </w:rPr>
        <w:t xml:space="preserve"> pada kerangka ESG, yang mencerminkan pengungkapan tanggung jawab sosial kepada pemangku kepentingan, namun tidak selalu berdampak langsung pada kinerja keuangan karena sifatnya lebih pada pemenuhan legitimasi dan regulasi (Solihah &amp; Fadilah, 2022).</w:t>
      </w:r>
    </w:p>
    <w:p w14:paraId="6DA74D20" w14:textId="4E6A7A96" w:rsidR="00B5702E" w:rsidRDefault="00B5702E" w:rsidP="004953B1">
      <w:pPr>
        <w:ind w:firstLine="720"/>
        <w:rPr>
          <w:lang w:val="en-ID"/>
        </w:rPr>
      </w:pPr>
      <w:r w:rsidRPr="00B5702E">
        <w:rPr>
          <w:lang w:val="en-ID"/>
        </w:rPr>
        <w:t>Kepemilikan Manajerial</w:t>
      </w:r>
      <w:r w:rsidRPr="00B5702E">
        <w:rPr>
          <w:i/>
          <w:iCs/>
          <w:lang w:val="en-ID"/>
        </w:rPr>
        <w:t xml:space="preserve"> </w:t>
      </w:r>
      <w:r w:rsidRPr="00B5702E">
        <w:rPr>
          <w:lang w:val="en-ID"/>
        </w:rPr>
        <w:t>dan Kepemilikan Institusional</w:t>
      </w:r>
      <w:r w:rsidRPr="00B5702E">
        <w:rPr>
          <w:i/>
          <w:iCs/>
          <w:lang w:val="en-ID"/>
        </w:rPr>
        <w:t>.</w:t>
      </w:r>
      <w:r w:rsidRPr="00B5702E">
        <w:rPr>
          <w:lang w:val="en-ID"/>
        </w:rPr>
        <w:t xml:space="preserve"> Kepemilikan </w:t>
      </w:r>
      <w:r w:rsidRPr="00B5702E">
        <w:rPr>
          <w:lang w:val="en-ID"/>
        </w:rPr>
        <w:lastRenderedPageBreak/>
        <w:t>manajerial mengukur persentase saham yang dimiliki direksi dan komisaris terhadap total saham beredar; semakin tinggi porsinya, semakin selaras kepentingan manajer dengan pemegang saham (Hanafiah &amp; Rahmi, 2025). Kepemilikan institusional mengukur persentase saham yang dimiliki investor institusional (bank, asuransi, dana pensiun), yang diyakini memiliki kapasitas pengawasan lebih baik terhadap kebijakan manajemen (Hanafiah &amp; Rahmi, 2025; Sari et al., 2025).</w:t>
      </w:r>
    </w:p>
    <w:p w14:paraId="234EDCDF" w14:textId="77777777" w:rsidR="004953B1" w:rsidRPr="004953B1" w:rsidRDefault="004953B1" w:rsidP="004953B1">
      <w:pPr>
        <w:ind w:firstLine="720"/>
        <w:rPr>
          <w:lang w:val="en-ID"/>
        </w:rPr>
      </w:pPr>
      <w:r w:rsidRPr="004953B1">
        <w:rPr>
          <w:i/>
          <w:iCs/>
          <w:lang w:val="en-ID"/>
        </w:rPr>
        <w:t>Kinerja Perusahaan.</w:t>
      </w:r>
      <w:r w:rsidRPr="004953B1">
        <w:rPr>
          <w:lang w:val="en-ID"/>
        </w:rPr>
        <w:t xml:space="preserve"> Diproksikan melalui Tobin's Q — rasio nilai pasar terhadap total aset — yang mencerminkan persepsi investor atas prospek perusahaan, bukan sekadar kinerja historis (Sari et al., 2025; Dakhli, 2021). </w:t>
      </w:r>
      <w:r w:rsidRPr="004953B1">
        <w:rPr>
          <w:i/>
          <w:iCs/>
          <w:lang w:val="en-ID"/>
        </w:rPr>
        <w:t>Leverage</w:t>
      </w:r>
      <w:r w:rsidRPr="004953B1">
        <w:rPr>
          <w:lang w:val="en-ID"/>
        </w:rPr>
        <w:t xml:space="preserve"> (DAR) dan ukuran perusahaan (Ln total aset) digunakan sebagai variabel kontrol mengikuti Dakhli (2021), karena keduanya berpotensi memengaruhi ruang gerak manajemen dalam mengalokasikan sumber daya untuk CSR.</w:t>
      </w:r>
    </w:p>
    <w:p w14:paraId="237C21F1" w14:textId="0E701861" w:rsidR="004953B1" w:rsidRDefault="004953B1" w:rsidP="004953B1">
      <w:pPr>
        <w:ind w:firstLine="720"/>
        <w:rPr>
          <w:lang w:val="en-ID"/>
        </w:rPr>
      </w:pPr>
      <w:r w:rsidRPr="004953B1">
        <w:rPr>
          <w:i/>
          <w:iCs/>
          <w:lang w:val="en-ID"/>
        </w:rPr>
        <w:t>Penelitian Terdahulu.</w:t>
      </w:r>
      <w:r w:rsidRPr="004953B1">
        <w:rPr>
          <w:lang w:val="en-ID"/>
        </w:rPr>
        <w:t xml:space="preserve"> Studi-studi sebelumnya menunjukkan CSR secara konsisten berpengaruh positif terhadap kinerja dan nilai perusahaan (Dakhli, 2021; Noviyanti &amp; Priyawan, 2025; Solihah &amp; Fadilah, 2022), sementara peran struktur kepemilikan — khususnya kepemilikan institusional — terbukti penting baik secara langsung maupun sebagai moderator (Aulia et al., 2026; Danendratama &amp; Dharma, 2026; Sari et al., 2025). Namun, pengaruh kepemilikan manajerial dan institusional terhadap CSR, serta peran moderasi kinerja perusahaan, masih menunjukkan hasil yang tidak konsisten antarstudi — diduga akibat perbedaan sektor, periode pengamatan, dan proksi pengukuran (Dakhli, 2021) — sehingga </w:t>
      </w:r>
      <w:r w:rsidRPr="004953B1">
        <w:rPr>
          <w:i/>
          <w:iCs/>
          <w:lang w:val="en-ID"/>
        </w:rPr>
        <w:t>research gap</w:t>
      </w:r>
      <w:r w:rsidRPr="004953B1">
        <w:rPr>
          <w:lang w:val="en-ID"/>
        </w:rPr>
        <w:t xml:space="preserve"> ini menjadi dasar pengembangan hipotesis berikut.</w:t>
      </w:r>
    </w:p>
    <w:p w14:paraId="7D63EEF1" w14:textId="2DC64240" w:rsidR="004953B1" w:rsidRDefault="004953B1" w:rsidP="004953B1">
      <w:r w:rsidRPr="004953B1">
        <w:rPr>
          <w:b/>
          <w:bCs/>
        </w:rPr>
        <w:t>H1: Kepemilikan Manajerial berpengaruh positif terhadap CSR.</w:t>
      </w:r>
      <w:r w:rsidRPr="004953B1">
        <w:br/>
      </w:r>
      <w:r w:rsidRPr="004953B1">
        <w:lastRenderedPageBreak/>
        <w:t>Kepemilikan saham oleh manajer menyelaraskan kepentingannya dengan pemegang saham jangka panjang, mendorong komitmen pada program berkelanjutan termasuk CSR (Danendratama &amp; Dharma, 2026). Namun Dakhli (2021) menemukan arah pengaruh yang berlawanan, sehingga hubungan ini masih relevan diuji pada konteks manufaktur Indonesia yang berstruktur kepemilikan terkonsentrasi (Wahida et al., 2020).</w:t>
      </w:r>
    </w:p>
    <w:p w14:paraId="29E86B04" w14:textId="37DB38ED" w:rsidR="004953B1" w:rsidRPr="004953B1" w:rsidRDefault="004953B1" w:rsidP="004953B1">
      <w:pPr>
        <w:rPr>
          <w:lang w:val="en-ID"/>
        </w:rPr>
      </w:pPr>
      <w:r w:rsidRPr="004953B1">
        <w:rPr>
          <w:b/>
          <w:bCs/>
        </w:rPr>
        <w:t>H2: Kepemilikan Institusional berpengaruh positif terhadap CSR.</w:t>
      </w:r>
      <w:r w:rsidRPr="004953B1">
        <w:br/>
        <w:t>Investor institusional dengan sumber daya pengawasan yang lebih besar berpotensi mendorong orientasi manajemen ke kepentingan jangka panjang, termasuk CSR (Dakhli, 2021; Aulia et al., 2026). Namun pengungkapan CSR manufaktur Indonesia yang masih rendah dan bervariasi (Nawangsari et al., 2021), serta temuan Wahida et al. (2020) yang menunjukkan investor institusional cenderung berorientasi laba jangka pendek, mengindikasikan hasil yang belum seragam.</w:t>
      </w:r>
    </w:p>
    <w:p w14:paraId="4F46D705" w14:textId="77777777" w:rsidR="004953B1" w:rsidRPr="004953B1" w:rsidRDefault="004953B1" w:rsidP="004953B1">
      <w:pPr>
        <w:rPr>
          <w:lang w:val="en-ID"/>
        </w:rPr>
      </w:pPr>
      <w:r w:rsidRPr="004953B1">
        <w:rPr>
          <w:b/>
          <w:bCs/>
          <w:lang w:val="en-ID"/>
        </w:rPr>
        <w:t>H3: Kinerja Perusahaan memoderasi pengaruh Kepemilikan Manajerial terhadap CSR.</w:t>
      </w:r>
      <w:r w:rsidRPr="004953B1">
        <w:rPr>
          <w:lang w:val="en-ID"/>
        </w:rPr>
        <w:br/>
        <w:t>Kinerja yang baik memberi manajer-pemilik saham sumber daya lebih memadai untuk mendukung CSR sekaligus menjadi sinyal positif ke pasar (Dakhli, 2021). Namun ketika pengawasan lemah, kinerja baik justru dapat memperbesar ruang manajer mengutamakan kepentingan pribadi (Xu &amp; Yang, 2023), sehingga arah moderasi bergantung pada orientasi manajer.</w:t>
      </w:r>
    </w:p>
    <w:p w14:paraId="6BB3C7D6" w14:textId="77777777" w:rsidR="004953B1" w:rsidRPr="004953B1" w:rsidRDefault="004953B1" w:rsidP="004953B1">
      <w:pPr>
        <w:rPr>
          <w:lang w:val="en-ID"/>
        </w:rPr>
      </w:pPr>
      <w:r w:rsidRPr="004953B1">
        <w:rPr>
          <w:b/>
          <w:bCs/>
          <w:lang w:val="en-ID"/>
        </w:rPr>
        <w:t>H4: Kinerja Perusahaan memoderasi pengaruh Kepemilikan Institusional terhadap CSR.</w:t>
      </w:r>
      <w:r w:rsidRPr="004953B1">
        <w:rPr>
          <w:lang w:val="en-ID"/>
        </w:rPr>
        <w:br/>
        <w:t xml:space="preserve">Secara teoritis, kinerja pasar yang tinggi seharusnya memperkuat fungsi </w:t>
      </w:r>
      <w:r w:rsidRPr="004953B1">
        <w:rPr>
          <w:lang w:val="en-ID"/>
        </w:rPr>
        <w:lastRenderedPageBreak/>
        <w:t xml:space="preserve">pengawasan institusional atas pelaksanaan CSR (Jensen &amp; Meckling, 1976). Namun ketika investor institusional lebih mengutamakan </w:t>
      </w:r>
      <w:r w:rsidRPr="004953B1">
        <w:rPr>
          <w:i/>
          <w:iCs/>
          <w:lang w:val="en-ID"/>
        </w:rPr>
        <w:t>return</w:t>
      </w:r>
      <w:r w:rsidRPr="004953B1">
        <w:rPr>
          <w:lang w:val="en-ID"/>
        </w:rPr>
        <w:t xml:space="preserve"> jangka pendek, tekanan tersebut dapat mengalihkan sumber daya dari CSR (Waheed et al., 2021), konsisten dengan temuan Dakhli (2021) bahwa moderasi ini tidak signifikan.</w:t>
      </w:r>
    </w:p>
    <w:p w14:paraId="65EDA73A" w14:textId="77777777" w:rsidR="00B5702E" w:rsidRPr="00B5702E" w:rsidRDefault="00B5702E" w:rsidP="00B5702E">
      <w:pPr>
        <w:ind w:firstLine="720"/>
        <w:rPr>
          <w:lang w:val="en-ID"/>
        </w:rPr>
      </w:pPr>
    </w:p>
    <w:p w14:paraId="3365BA2C" w14:textId="4646C042" w:rsidR="00B5702E" w:rsidRDefault="00581DBD" w:rsidP="00581DBD">
      <w:pPr>
        <w:rPr>
          <w:lang w:val="en-ID"/>
        </w:rPr>
      </w:pPr>
      <w:r>
        <w:rPr>
          <w:lang w:val="en-ID"/>
        </w:rPr>
        <w:tab/>
      </w:r>
    </w:p>
    <w:p w14:paraId="0B793244" w14:textId="77777777" w:rsidR="00B5702E" w:rsidRDefault="00B5702E" w:rsidP="00581DBD">
      <w:pPr>
        <w:rPr>
          <w:lang w:val="en-ID"/>
        </w:rPr>
      </w:pPr>
    </w:p>
    <w:p w14:paraId="204F2368" w14:textId="6FB262D0" w:rsidR="00B5702E" w:rsidRDefault="00B5702E" w:rsidP="00581DBD">
      <w:pPr>
        <w:rPr>
          <w:lang w:val="en-ID"/>
        </w:rPr>
      </w:pPr>
    </w:p>
    <w:p w14:paraId="2985AE2A" w14:textId="08774A9E" w:rsidR="004953B1" w:rsidRDefault="004953B1" w:rsidP="00581DBD">
      <w:pPr>
        <w:rPr>
          <w:lang w:val="en-ID"/>
        </w:rPr>
      </w:pPr>
    </w:p>
    <w:p w14:paraId="63763C34" w14:textId="49F0888E" w:rsidR="004953B1" w:rsidRDefault="004953B1" w:rsidP="00581DBD">
      <w:pPr>
        <w:rPr>
          <w:lang w:val="en-ID"/>
        </w:rPr>
      </w:pPr>
    </w:p>
    <w:p w14:paraId="2BB39E7B" w14:textId="77777777" w:rsidR="004953B1" w:rsidRDefault="004953B1" w:rsidP="00581DBD">
      <w:pPr>
        <w:rPr>
          <w:lang w:val="en-ID"/>
        </w:rPr>
      </w:pPr>
    </w:p>
    <w:p w14:paraId="0FCDAE69" w14:textId="77777777" w:rsidR="00B5702E" w:rsidRDefault="00B5702E" w:rsidP="00581DBD">
      <w:pPr>
        <w:rPr>
          <w:lang w:val="en-ID"/>
        </w:rPr>
      </w:pPr>
    </w:p>
    <w:p w14:paraId="42EFCD86" w14:textId="170E0475" w:rsidR="00581DBD" w:rsidRDefault="006B0292" w:rsidP="00581DBD">
      <w:pPr>
        <w:rPr>
          <w:lang w:val="en-ID"/>
        </w:rPr>
      </w:pPr>
      <w:r w:rsidRPr="006B0292">
        <w:rPr>
          <w:lang w:val="en-ID"/>
        </w:rPr>
        <w:t xml:space="preserve">Teori keagenan yang dikemukakan oleh Jensen dan Meckling </w:t>
      </w:r>
      <w:r w:rsidRPr="006B0292">
        <w:rPr>
          <w:lang w:val="en-ID"/>
        </w:rPr>
        <w:fldChar w:fldCharType="begin" w:fldLock="1"/>
      </w:r>
      <w:r w:rsidRPr="006B0292">
        <w:rPr>
          <w:lang w:val="en-ID"/>
        </w:rP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suppress-author":1,"uris":["http://www.mendeley.com/documents/?uuid=433bbc02-dfe4-402b-bf61-e5717d6900a1"]}],"mendeley":{"formattedCitation":"(1976)","plainTextFormattedCitation":"(1976)","previouslyFormattedCitation":"(1976)"},"properties":{"noteIndex":0},"schema":"https://github.com/citation-style-language/schema/raw/master/csl-citation.json"}</w:instrText>
      </w:r>
      <w:r w:rsidRPr="006B0292">
        <w:rPr>
          <w:lang w:val="en-ID"/>
        </w:rPr>
        <w:fldChar w:fldCharType="separate"/>
      </w:r>
      <w:r w:rsidRPr="006B0292">
        <w:rPr>
          <w:noProof/>
          <w:lang w:val="en-ID"/>
        </w:rPr>
        <w:t>(1976)</w:t>
      </w:r>
      <w:r w:rsidRPr="006B0292">
        <w:rPr>
          <w:lang w:val="en-US"/>
        </w:rPr>
        <w:fldChar w:fldCharType="end"/>
      </w:r>
      <w:r w:rsidRPr="006B0292">
        <w:rPr>
          <w:lang w:val="en-ID"/>
        </w:rPr>
        <w:t xml:space="preserve"> </w:t>
      </w:r>
      <w:r w:rsidR="0022580B" w:rsidRPr="0022580B">
        <w:rPr>
          <w:lang w:val="en-ID"/>
        </w:rPr>
        <w:t>menjelaskan hubungan antara pemilik perusahaan selaku prinsipal dan pihak pengelola perusahaan selaku agen. Hubungan keagenan terbentuk ketika prinsipal menyerahkan sebagian wewenang pengambilan keputusan kepada agen untuk menjalankan kegiatan perusahaan</w:t>
      </w:r>
      <w:r w:rsidRPr="006B0292">
        <w:rPr>
          <w:lang w:val="en-ID"/>
        </w:rPr>
        <w:t xml:space="preserve">. </w:t>
      </w:r>
      <w:r w:rsidR="0022580B" w:rsidRPr="0022580B">
        <w:rPr>
          <w:lang w:val="en-ID"/>
        </w:rPr>
        <w:t xml:space="preserve">Prinsipal dalam konteks perusahaan adalah pemegang saham, sedangkan agen adalah direksi dan manajemen yang dibayar untuk mengelola perusahaan sehari-hari. Teori ini menjadi dasar dalam memahami bagaimana perbedaan kepentingan antara pemilik dan pengelola dapat menimbulkan berbagai permasalahan tata </w:t>
      </w:r>
      <w:r w:rsidR="0022580B">
        <w:rPr>
          <w:lang w:val="en-ID"/>
        </w:rPr>
        <w:t xml:space="preserve">kelola </w:t>
      </w:r>
      <w:r w:rsidRPr="006B0292">
        <w:rPr>
          <w:lang w:val="en-ID"/>
        </w:rPr>
        <w:fldChar w:fldCharType="begin" w:fldLock="1"/>
      </w:r>
      <w:r w:rsidRPr="006B0292">
        <w:rPr>
          <w:lang w:val="en-ID"/>
        </w:rP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e","type":"article-journal","volume":"3"},"uris":["http://www.mendeley.com/documents/?uuid=433bbc02-dfe4-402b-bf61-e5717d6900a1"]}],"mendeley":{"formattedCitation":"(Jensen &amp; Meckling, 1976)","plainTextFormattedCitation":"(Jensen &amp; Meckling, 1976)","previouslyFormattedCitation":"(Jensen &amp; Meckling, 1976)"},"properties":{"noteIndex":0},"schema":"https://github.com/citation-style-language/schema/raw/master/csl-citation.json"}</w:instrText>
      </w:r>
      <w:r w:rsidRPr="006B0292">
        <w:rPr>
          <w:lang w:val="en-ID"/>
        </w:rPr>
        <w:fldChar w:fldCharType="separate"/>
      </w:r>
      <w:r w:rsidRPr="006B0292">
        <w:rPr>
          <w:noProof/>
          <w:lang w:val="en-ID"/>
        </w:rPr>
        <w:t>(Jensen &amp; Meckling, 1976)</w:t>
      </w:r>
      <w:r w:rsidRPr="006B0292">
        <w:rPr>
          <w:lang w:val="en-US"/>
        </w:rPr>
        <w:fldChar w:fldCharType="end"/>
      </w:r>
      <w:r w:rsidRPr="006B0292">
        <w:rPr>
          <w:lang w:val="en-ID"/>
        </w:rPr>
        <w:t>.</w:t>
      </w:r>
    </w:p>
    <w:p w14:paraId="02CA4E79" w14:textId="09E2D6E2" w:rsidR="00581DBD" w:rsidRDefault="00581DBD" w:rsidP="0022580B">
      <w:pPr>
        <w:rPr>
          <w:rFonts w:cs="Times New Roman"/>
          <w:szCs w:val="24"/>
          <w:lang w:val="en-ID"/>
        </w:rPr>
      </w:pPr>
      <w:r>
        <w:rPr>
          <w:lang w:val="en-ID"/>
        </w:rPr>
        <w:tab/>
      </w:r>
      <w:r w:rsidR="0022580B" w:rsidRPr="0022580B">
        <w:rPr>
          <w:rFonts w:cs="Times New Roman"/>
          <w:szCs w:val="24"/>
          <w:lang w:val="en-ID"/>
        </w:rPr>
        <w:t xml:space="preserve">Teori keagenan menyoroti dua permasalahan utama yang muncul akibat pemisahan antara pemilik dan pengelola, yaitu konflik kepentingan dan </w:t>
      </w:r>
      <w:r w:rsidR="0022580B" w:rsidRPr="0022580B">
        <w:rPr>
          <w:rFonts w:cs="Times New Roman"/>
          <w:szCs w:val="24"/>
          <w:lang w:val="en-ID"/>
        </w:rPr>
        <w:lastRenderedPageBreak/>
        <w:t>ketimpangan informasi. Pemegang saham menginginkan nilai investasinya terus meningkat melalui kenaikan harga saham dan pembagian dividen. Manajemen sebagai agen yang mengetahui kondisi internal perusahaan sering kali lebih mengutamakan kepentingan pribadi, seperti meningkatkan penghasilan atau mempertahankan jabatannya. Kepentingan tersebut tidak selalu sejalan dengan tujuan pemegang saham. Perbedaan tujuan inilah yang menimbulkan masalah keagenan dalam perusahaan</w:t>
      </w:r>
      <w:r w:rsidR="006B0292" w:rsidRPr="006B0292">
        <w:rPr>
          <w:rFonts w:cs="Times New Roman"/>
          <w:szCs w:val="24"/>
          <w:lang w:val="en-ID"/>
        </w:rPr>
        <w:t xml:space="preserve"> </w:t>
      </w:r>
      <w:r w:rsidR="006B0292" w:rsidRPr="006B0292">
        <w:rPr>
          <w:rFonts w:cs="Times New Roman"/>
          <w:szCs w:val="24"/>
          <w:lang w:val="en-ID"/>
        </w:rPr>
        <w:fldChar w:fldCharType="begin" w:fldLock="1"/>
      </w:r>
      <w:r w:rsidR="006B0292" w:rsidRPr="006B0292">
        <w:rPr>
          <w:rFonts w:cs="Times New Roman"/>
          <w:szCs w:val="24"/>
          <w:lang w:val="en-ID"/>
        </w:rP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e","type":"article-journal","volume":"3"},"uris":["http://www.mendeley.com/documents/?uuid=433bbc02-dfe4-402b-bf61-e5717d6900a1"]},{"id":"ITEM-2","itemData":{"author":[{"dropping-particle":"","family":"Saputri","given":"Sevty Wahiddirani","non-dropping-particle":"","parse-names":false,"suffix":""},{"dropping-particle":"","family":"Oktavianna","given":"Rakhmawati","non-dropping-particle":"","parse-names":false,"suffix":""},{"dropping-particle":"","family":"Benarda","given":"","non-dropping-particle":"","parse-names":false,"suffix":""},{"dropping-particle":"","family":"Rahmadani","given":"Lulu Septia","non-dropping-particle":"","parse-names":false,"suffix":""},{"dropping-particle":"","family":"Nurhaliza","given":"Zihan","non-dropping-particle":"","parse-names":false,"suffix":""}],"id":"ITEM-2","issue":"1","issued":{"date-parts":[["2026"]]},"page":"112-124","title":"Meningkatkan Nilai Perusahaan : Peran Pertumbuhan Penjualan dan Kepemilikan Manajerial dengan Ukuran Perusahaan sebagai Faktor Moderasi","type":"article-journal","volume":"11"},"uris":["http://www.mendeley.com/documents/?uuid=294a3e92-bd1d-477c-b170-706b1ac48221"]}],"mendeley":{"formattedCitation":"(Jensen &amp; Meckling, 1976; Saputri et al., 2026)","plainTextFormattedCitation":"(Jensen &amp; Meckling, 1976; Saputri et al., 2026)","previouslyFormattedCitation":"(Jensen &amp; Meckling, 1976; Saputri et al., 2026)"},"properties":{"noteIndex":0},"schema":"https://github.com/citation-style-language/schema/raw/master/csl-citation.json"}</w:instrText>
      </w:r>
      <w:r w:rsidR="006B0292" w:rsidRPr="006B0292">
        <w:rPr>
          <w:rFonts w:cs="Times New Roman"/>
          <w:szCs w:val="24"/>
          <w:lang w:val="en-ID"/>
        </w:rPr>
        <w:fldChar w:fldCharType="separate"/>
      </w:r>
      <w:r w:rsidR="006B0292" w:rsidRPr="006B0292">
        <w:rPr>
          <w:rFonts w:cs="Times New Roman"/>
          <w:noProof/>
          <w:szCs w:val="24"/>
          <w:lang w:val="en-ID"/>
        </w:rPr>
        <w:t>(Jensen &amp; Meckling, 1976; Saputri et al., 2026)</w:t>
      </w:r>
      <w:r w:rsidR="006B0292" w:rsidRPr="006B0292">
        <w:rPr>
          <w:rFonts w:cs="Times New Roman"/>
          <w:szCs w:val="24"/>
          <w:lang w:val="en-US"/>
        </w:rPr>
        <w:fldChar w:fldCharType="end"/>
      </w:r>
      <w:r w:rsidR="006B0292" w:rsidRPr="006B0292">
        <w:rPr>
          <w:rFonts w:cs="Times New Roman"/>
          <w:szCs w:val="24"/>
          <w:lang w:val="en-ID"/>
        </w:rPr>
        <w:t>.</w:t>
      </w:r>
    </w:p>
    <w:p w14:paraId="51F597F2" w14:textId="77777777" w:rsidR="0022580B" w:rsidRDefault="00581DBD" w:rsidP="00581DBD">
      <w:pPr>
        <w:rPr>
          <w:rFonts w:cs="Times New Roman"/>
          <w:szCs w:val="24"/>
          <w:lang w:val="en-ID"/>
        </w:rPr>
      </w:pPr>
      <w:r>
        <w:rPr>
          <w:rFonts w:cs="Times New Roman"/>
          <w:szCs w:val="24"/>
          <w:lang w:val="en-ID"/>
        </w:rPr>
        <w:tab/>
      </w:r>
      <w:r w:rsidR="00BB030A" w:rsidRPr="00BB030A">
        <w:rPr>
          <w:rFonts w:cs="Times New Roman"/>
          <w:szCs w:val="24"/>
        </w:rPr>
        <w:t>Teori keagenan memperkenalkan konsep biaya keagenan sebagai upaya mengatasi perilaku agen yang tidak sesuai dengan kepentingan prinsipal</w:t>
      </w:r>
      <w:r w:rsidR="006B0292" w:rsidRPr="006B0292">
        <w:rPr>
          <w:rFonts w:cs="Times New Roman"/>
          <w:szCs w:val="24"/>
          <w:lang w:val="en-ID"/>
        </w:rPr>
        <w:t>. Biaya keagenan terdiri dari tiga jenis, yaitu biaya pengawasan dikeluarkan oleh prinsipal untuk memantau kinerja agen, biaya</w:t>
      </w:r>
      <w:r w:rsidR="0022580B">
        <w:rPr>
          <w:rFonts w:cs="Times New Roman"/>
          <w:szCs w:val="24"/>
          <w:lang w:val="en-ID"/>
        </w:rPr>
        <w:t xml:space="preserve"> </w:t>
      </w:r>
      <w:r w:rsidR="006B0292" w:rsidRPr="006B0292">
        <w:rPr>
          <w:rFonts w:cs="Times New Roman"/>
          <w:szCs w:val="24"/>
          <w:lang w:val="en-ID"/>
        </w:rPr>
        <w:t>dikeluarkan oleh agen untuk meyakinkan prinsipal bahwa mereka bertindak sesuai kepentingan bersama, serta kerugian</w:t>
      </w:r>
      <w:r w:rsidR="0022580B">
        <w:rPr>
          <w:rFonts w:cs="Times New Roman"/>
          <w:szCs w:val="24"/>
          <w:lang w:val="en-ID"/>
        </w:rPr>
        <w:t xml:space="preserve"> </w:t>
      </w:r>
      <w:r w:rsidR="006B0292" w:rsidRPr="006B0292">
        <w:rPr>
          <w:rFonts w:cs="Times New Roman"/>
          <w:szCs w:val="24"/>
          <w:lang w:val="en-ID"/>
        </w:rPr>
        <w:t xml:space="preserve">tetap terjadi meskipun pengawasan sudah dilakukan </w:t>
      </w:r>
      <w:r w:rsidR="006B0292" w:rsidRPr="006B0292">
        <w:rPr>
          <w:rFonts w:cs="Times New Roman"/>
          <w:szCs w:val="24"/>
          <w:lang w:val="en-ID"/>
        </w:rPr>
        <w:fldChar w:fldCharType="begin" w:fldLock="1"/>
      </w:r>
      <w:r w:rsidR="006B0292" w:rsidRPr="006B0292">
        <w:rPr>
          <w:rFonts w:cs="Times New Roman"/>
          <w:szCs w:val="24"/>
          <w:lang w:val="en-ID"/>
        </w:rP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e","type":"article-journal","volume":"3"},"uris":["http://www.mendeley.com/documents/?uuid=433bbc02-dfe4-402b-bf61-e5717d6900a1"]}],"mendeley":{"formattedCitation":"(Jensen &amp; Meckling, 1976)","plainTextFormattedCitation":"(Jensen &amp; Meckling, 1976)","previouslyFormattedCitation":"(Jensen &amp; Meckling, 1976)"},"properties":{"noteIndex":0},"schema":"https://github.com/citation-style-language/schema/raw/master/csl-citation.json"}</w:instrText>
      </w:r>
      <w:r w:rsidR="006B0292" w:rsidRPr="006B0292">
        <w:rPr>
          <w:rFonts w:cs="Times New Roman"/>
          <w:szCs w:val="24"/>
          <w:lang w:val="en-ID"/>
        </w:rPr>
        <w:fldChar w:fldCharType="separate"/>
      </w:r>
      <w:r w:rsidR="006B0292" w:rsidRPr="006B0292">
        <w:rPr>
          <w:rFonts w:cs="Times New Roman"/>
          <w:noProof/>
          <w:szCs w:val="24"/>
          <w:lang w:val="en-ID"/>
        </w:rPr>
        <w:t>(Jensen &amp; Meckling, 1976)</w:t>
      </w:r>
      <w:r w:rsidR="006B0292" w:rsidRPr="006B0292">
        <w:rPr>
          <w:rFonts w:cs="Times New Roman"/>
          <w:szCs w:val="24"/>
          <w:lang w:val="en-US"/>
        </w:rPr>
        <w:fldChar w:fldCharType="end"/>
      </w:r>
      <w:r w:rsidR="006B0292" w:rsidRPr="006B0292">
        <w:rPr>
          <w:rFonts w:cs="Times New Roman"/>
          <w:szCs w:val="24"/>
          <w:lang w:val="en-ID"/>
        </w:rPr>
        <w:t>.</w:t>
      </w:r>
    </w:p>
    <w:p w14:paraId="5CDDFB3C" w14:textId="4E4C1897" w:rsidR="006B0292" w:rsidRPr="006B0292" w:rsidRDefault="00BB030A" w:rsidP="0022580B">
      <w:pPr>
        <w:ind w:firstLine="720"/>
        <w:rPr>
          <w:rFonts w:cstheme="majorBidi"/>
          <w:b/>
          <w:bCs/>
        </w:rPr>
      </w:pPr>
      <w:r w:rsidRPr="00BB030A">
        <w:rPr>
          <w:rFonts w:cs="Times New Roman"/>
          <w:szCs w:val="24"/>
        </w:rPr>
        <w:t>Penekanan biaya keagenan tersebut mendorong pentingnya penerapan tata kelola perusahaan yang baik guna menyelaraskan kepentingan antara prinsipal dan agen</w:t>
      </w:r>
      <w:r w:rsidR="006B0292" w:rsidRPr="006B0292">
        <w:rPr>
          <w:rFonts w:cs="Times New Roman"/>
          <w:szCs w:val="24"/>
          <w:lang w:val="en-ID"/>
        </w:rPr>
        <w:t xml:space="preserve"> </w:t>
      </w:r>
      <w:r w:rsidR="006B0292" w:rsidRPr="006B0292">
        <w:rPr>
          <w:rFonts w:cs="Times New Roman"/>
          <w:szCs w:val="24"/>
          <w:lang w:val="en-ID"/>
        </w:rPr>
        <w:fldChar w:fldCharType="begin" w:fldLock="1"/>
      </w:r>
      <w:r w:rsidR="006B0292" w:rsidRPr="006B0292">
        <w:rPr>
          <w:rFonts w:cs="Times New Roman"/>
          <w:szCs w:val="24"/>
          <w:lang w:val="en-ID"/>
        </w:rPr>
        <w:instrText>ADDIN CSL_CITATION {"citationItems":[{"id":"ITEM-1","itemData":{"author":[{"dropping-particle":"","family":"Saputri","given":"Sevty Wahiddirani","non-dropping-particle":"","parse-names":false,"suffix":""},{"dropping-particle":"","family":"Oktavianna","given":"Rakhmawati","non-dropping-particle":"","parse-names":false,"suffix":""},{"dropping-particle":"","family":"Benarda","given":"","non-dropping-particle":"","parse-names":false,"suffix":""},{"dropping-particle":"","family":"Rahmadani","given":"Lulu Septia","non-dropping-particle":"","parse-names":false,"suffix":""},{"dropping-particle":"","family":"Nurhaliza","given":"Zihan","non-dropping-particle":"","parse-names":false,"suffix":""}],"id":"ITEM-1","issue":"1","issued":{"date-parts":[["2026"]]},"page":"112-124","title":"Meningkatkan Nilai Perusahaan : Peran Pertumbuhan Penjualan dan Kepemilikan Manajerial dengan Ukuran Perusahaan sebagai Faktor Moderasi","type":"article-journal","volume":"11"},"uris":["http://www.mendeley.com/documents/?uuid=294a3e92-bd1d-477c-b170-706b1ac48221"]}],"mendeley":{"formattedCitation":"(Saputri et al., 2026)","plainTextFormattedCitation":"(Saputri et al., 2026)","previouslyFormattedCitation":"(Saputri et al., 2026)"},"properties":{"noteIndex":0},"schema":"https://github.com/citation-style-language/schema/raw/master/csl-citation.json"}</w:instrText>
      </w:r>
      <w:r w:rsidR="006B0292" w:rsidRPr="006B0292">
        <w:rPr>
          <w:rFonts w:cs="Times New Roman"/>
          <w:szCs w:val="24"/>
          <w:lang w:val="en-ID"/>
        </w:rPr>
        <w:fldChar w:fldCharType="separate"/>
      </w:r>
      <w:r w:rsidR="006B0292" w:rsidRPr="006B0292">
        <w:rPr>
          <w:rFonts w:cs="Times New Roman"/>
          <w:noProof/>
          <w:szCs w:val="24"/>
          <w:lang w:val="en-ID"/>
        </w:rPr>
        <w:t>(Saputri et al., 2026)</w:t>
      </w:r>
      <w:r w:rsidR="006B0292" w:rsidRPr="006B0292">
        <w:rPr>
          <w:rFonts w:cs="Times New Roman"/>
          <w:szCs w:val="24"/>
          <w:lang w:val="en-US"/>
        </w:rPr>
        <w:fldChar w:fldCharType="end"/>
      </w:r>
      <w:r w:rsidR="006B0292" w:rsidRPr="006B0292">
        <w:rPr>
          <w:rFonts w:cs="Times New Roman"/>
          <w:szCs w:val="24"/>
          <w:lang w:val="en-ID"/>
        </w:rPr>
        <w:t xml:space="preserve">. </w:t>
      </w:r>
      <w:r w:rsidR="0022580B" w:rsidRPr="0022580B">
        <w:rPr>
          <w:rFonts w:cs="Times New Roman"/>
          <w:szCs w:val="24"/>
          <w:lang w:val="en-ID"/>
        </w:rPr>
        <w:t>Teori keagenan dalam penelitian ini sangat erat kaitannya dengan kepemilikan manajerial dan kepemilikan institusional. Kepemilikan manajerial dapat mendorong manajer bertindak sesuai kepentingan pemegang saham, sedangkan kepemilikan institusional berperan sebagai mekanisme pengawasan yang efektif terhadap tindakan manajer</w:t>
      </w:r>
      <w:r w:rsidR="006B0292" w:rsidRPr="006B0292">
        <w:rPr>
          <w:rFonts w:cs="Times New Roman"/>
          <w:szCs w:val="24"/>
          <w:lang w:val="en-ID"/>
        </w:rPr>
        <w:t xml:space="preserve"> </w:t>
      </w:r>
      <w:r w:rsidR="006B0292" w:rsidRPr="006B0292">
        <w:rPr>
          <w:rFonts w:cs="Times New Roman"/>
          <w:szCs w:val="24"/>
          <w:lang w:val="en-ID"/>
        </w:rPr>
        <w:fldChar w:fldCharType="begin" w:fldLock="1"/>
      </w:r>
      <w:r w:rsidR="006B0292" w:rsidRPr="006B0292">
        <w:rPr>
          <w:rFonts w:cs="Times New Roman"/>
          <w:szCs w:val="24"/>
          <w:lang w:val="en-ID"/>
        </w:rPr>
        <w:instrText>ADDIN CSL_CITATION {"citationItems":[{"id":"ITEM-1","itemData":{"author":[{"dropping-particle":"","family":"Aulia","given":"Nurul","non-dropping-particle":"","parse-names":false,"suffix":""},{"dropping-particle":"","family":"Hikmat","given":"Asep","non-dropping-particle":"","parse-names":false,"suffix":""},{"dropping-particle":"","family":"Nur","given":"Tuah","non-dropping-particle":"","parse-names":false,"suffix":""},{"dropping-particle":"","family":"Saleh","given":"Munandi","non-dropping-particle":"","parse-names":false,"suffix":""}],"id":"ITEM-1","issued":{"date-parts":[["2026"]]},"page":"64-76","title":"PENGARUH KEPEMILIKAN INSTITUSIONAL, KEPEMILIKAN MANAJERIAL, DAN KOMITE AUDIT TERHADAP NILAI PERUSAHAAN BANK BUMN PERIODE 2021-2024","type":"article-journal","volume":"8"},"uris":["http://www.mendeley.com/documents/?uuid=53e9780c-a424-4933-bc11-eb650ce8157c"]}],"mendeley":{"formattedCitation":"(Aulia et al., 2026)","plainTextFormattedCitation":"(Aulia et al., 2026)","previouslyFormattedCitation":"(Aulia et al., 2026)"},"properties":{"noteIndex":0},"schema":"https://github.com/citation-style-language/schema/raw/master/csl-citation.json"}</w:instrText>
      </w:r>
      <w:r w:rsidR="006B0292" w:rsidRPr="006B0292">
        <w:rPr>
          <w:rFonts w:cs="Times New Roman"/>
          <w:szCs w:val="24"/>
          <w:lang w:val="en-ID"/>
        </w:rPr>
        <w:fldChar w:fldCharType="separate"/>
      </w:r>
      <w:r w:rsidR="006B0292" w:rsidRPr="006B0292">
        <w:rPr>
          <w:rFonts w:cs="Times New Roman"/>
          <w:noProof/>
          <w:szCs w:val="24"/>
          <w:lang w:val="en-ID"/>
        </w:rPr>
        <w:t>(Aulia et al., 2026)</w:t>
      </w:r>
      <w:r w:rsidR="006B0292" w:rsidRPr="006B0292">
        <w:rPr>
          <w:rFonts w:cs="Times New Roman"/>
          <w:szCs w:val="24"/>
          <w:lang w:val="en-US"/>
        </w:rPr>
        <w:fldChar w:fldCharType="end"/>
      </w:r>
      <w:r w:rsidR="006B0292" w:rsidRPr="006B0292">
        <w:rPr>
          <w:rFonts w:cs="Times New Roman"/>
          <w:szCs w:val="24"/>
          <w:lang w:val="en-ID"/>
        </w:rPr>
        <w:t>.</w:t>
      </w:r>
    </w:p>
    <w:p w14:paraId="4F9A553A" w14:textId="77777777" w:rsidR="00581DBD" w:rsidRDefault="00581DBD" w:rsidP="00581DBD">
      <w:pPr>
        <w:pStyle w:val="Heading3"/>
        <w:rPr>
          <w:b w:val="0"/>
          <w:bCs/>
          <w:color w:val="auto"/>
          <w:lang w:val="id-ID"/>
        </w:rPr>
      </w:pPr>
      <w:bookmarkStart w:id="6" w:name="_Toc235560211"/>
      <w:r w:rsidRPr="00581DBD">
        <w:rPr>
          <w:bCs/>
          <w:color w:val="auto"/>
          <w:lang w:val="en-US"/>
        </w:rPr>
        <w:t>2.1.2</w:t>
      </w:r>
      <w:r w:rsidRPr="00581DBD">
        <w:rPr>
          <w:bCs/>
          <w:color w:val="auto"/>
          <w:lang w:val="en-US"/>
        </w:rPr>
        <w:tab/>
      </w:r>
      <w:r w:rsidR="006B0292" w:rsidRPr="00581DBD">
        <w:rPr>
          <w:bCs/>
          <w:color w:val="auto"/>
          <w:lang w:val="id-ID"/>
        </w:rPr>
        <w:t>Corporate Social Responsibility (CSR)</w:t>
      </w:r>
      <w:bookmarkEnd w:id="6"/>
    </w:p>
    <w:p w14:paraId="72B04B5E" w14:textId="0CADD724" w:rsidR="005127B1" w:rsidRDefault="00581DBD" w:rsidP="00581DBD">
      <w:pPr>
        <w:rPr>
          <w:lang w:val="en-ID"/>
        </w:rPr>
      </w:pPr>
      <w:r>
        <w:rPr>
          <w:i/>
          <w:iCs/>
          <w:lang w:val="en-ID"/>
        </w:rPr>
        <w:tab/>
      </w:r>
      <w:r w:rsidR="006B0292" w:rsidRPr="006B0292">
        <w:rPr>
          <w:i/>
          <w:iCs/>
          <w:lang w:val="en-ID"/>
        </w:rPr>
        <w:t>Corporate Social Responsibility</w:t>
      </w:r>
      <w:r w:rsidR="006B0292" w:rsidRPr="006B0292">
        <w:rPr>
          <w:lang w:val="en-ID"/>
        </w:rPr>
        <w:t xml:space="preserve"> (CSR) atau </w:t>
      </w:r>
      <w:r w:rsidR="0022580B">
        <w:rPr>
          <w:lang w:val="en-ID"/>
        </w:rPr>
        <w:t xml:space="preserve">dapat </w:t>
      </w:r>
      <w:r w:rsidR="006B0292" w:rsidRPr="006B0292">
        <w:rPr>
          <w:lang w:val="en-ID"/>
        </w:rPr>
        <w:t xml:space="preserve">dikenal dengan Tanggung Jawab Sosial Perusahaan merupakan bentuk komitmen perusahaan untuk turut serta </w:t>
      </w:r>
      <w:r w:rsidR="006B0292" w:rsidRPr="006B0292">
        <w:rPr>
          <w:lang w:val="en-ID"/>
        </w:rPr>
        <w:lastRenderedPageBreak/>
        <w:t xml:space="preserve">dalam menyelesaikan masalah sosial dan lingkungan yang timbul dari kegiatan usahanya. </w:t>
      </w:r>
      <w:r w:rsidR="00290D46">
        <w:rPr>
          <w:lang w:val="en-ID"/>
        </w:rPr>
        <w:t>T</w:t>
      </w:r>
      <w:r w:rsidR="006B0292" w:rsidRPr="006B0292">
        <w:rPr>
          <w:lang w:val="en-ID"/>
        </w:rPr>
        <w:t xml:space="preserve">anggung jawab ini dijalankan baik secara sukarela maupun karena adanya kewajiban yang ditetapkan oleh peraturan yang didasari pada </w:t>
      </w:r>
      <w:r w:rsidR="006B0292" w:rsidRPr="006B0292">
        <w:rPr>
          <w:lang w:val="en-ID"/>
        </w:rPr>
        <w:fldChar w:fldCharType="begin" w:fldLock="1"/>
      </w:r>
      <w:r w:rsidR="004953B1">
        <w:rPr>
          <w:lang w:val="en-ID"/>
        </w:rPr>
        <w:instrText>ADDIN CSL_CITATION {"citationItems":[{"id":"ITEM-1","itemData":{"DOI":"10.2320/materia.46.171","ISSN":"1340-2625","abstract":"An analytical model of a prestressed concrete reactor vessel (PCRV) for LMFBR and the associated finite element com- puter code, involving an explicit time integration procedure, is described. The model is axisymmetric and includes simula- tions of the tensile cracking of concrete, the reinforcement, and a prestressing capability. The tensile cracking of concrete and the steel reinforcement are both modeled as continuously distr~uted within the finite element. The stresses in the rein- forcement and concrete are computed separately and combined to give an overall stress state of the composite material. The reinformcement is assumed to be elastic, perfectly-plastic; the concrete is taken to be elastic, with tensile and com- pressive stress limits. Cracking of concrete is based on the criterion of maximum principal stress; a crack is assumed to form normal to the direction of the maximum principal stress. Attention is also given to the fact that cracks do not form instan- taneously, but develop gradually. Thus, after crack initiation the normal stress is reduced to zero gradually as a function of time. Residual shear resistance of cracks due to aggregate interlock is also taken into account. An existing crack is permitted to close. Prestressing of the PCRV is modeled by special structural members which represent an averaged prestressing layer equivalent to an axisymmetric shell. The internal prestressing members are superimposed over the reinforced concrete body of the PCRV; they are permitted to stretch and slide in a predetermined path, simulating the actual tendons. The validity of the code is examined by comparison with experimental data. Both static and dynamic data are com- pared with code predictions, and the agreement is satisfactory. A preliminary design has been developed for both pool and loop-type PCRVs. The code was applied to the analysis of these designs. This analysis reveals that the critical locations in such a design would be the head cover and the junction between the cover and the vessel wall and indicates the pattern of crack development. The results show that the development of a design adequate for current HCDA loads is quite feasible for pool-type or loop-type PCRVs.","author":[{"dropping-particle":"","family":"DPR","given":"","non-dropping-particle":"","parse-names":false,"suffix":""},{"dropping-particle":"","family":"RI","given":"Presiden","non-dropping-particle":"","parse-names":false,"suffix":""}],"id":"ITEM-1","issue":"3","issued":{"date-parts":[["2007"]]},"page":"171-174","title":"Undang-Undang Nomor 40 Tahun 2007 tentang Perseroan Terbatas","type":"legislation","volume":"46"},"suppress-author":1,"uris":["http://www.mendeley.com/documents/?uuid=7a582426-97b0-450f-ba0c-27c937819b6f"]}],"mendeley":{"formattedCitation":"(Undang-Undang Nomor 40 Tahun 2007 Tentang Perseroan Terbatas, 2007)","manualFormatting":"Undang-Undang Nomor 40 Tahun 2007 tentang Perseroan Terbatas","plainTextFormattedCitation":"(Undang-Undang Nomor 40 Tahun 2007 Tentang Perseroan Terbatas, 2007)","previouslyFormattedCitation":"(Undang-Undang Nomor 40 Tahun 2007 Tentang Perseroan Terbatas, 2007)"},"properties":{"noteIndex":0},"schema":"https://github.com/citation-style-language/schema/raw/master/csl-citation.json"}</w:instrText>
      </w:r>
      <w:r w:rsidR="006B0292" w:rsidRPr="006B0292">
        <w:rPr>
          <w:lang w:val="en-ID"/>
        </w:rPr>
        <w:fldChar w:fldCharType="separate"/>
      </w:r>
      <w:r w:rsidR="006B0292" w:rsidRPr="006B0292">
        <w:rPr>
          <w:noProof/>
          <w:lang w:val="en-ID"/>
        </w:rPr>
        <w:t xml:space="preserve">Undang-Undang Nomor 40 Tahun 2007 </w:t>
      </w:r>
      <w:r w:rsidR="00290D46">
        <w:rPr>
          <w:noProof/>
          <w:lang w:val="en-ID"/>
        </w:rPr>
        <w:t>t</w:t>
      </w:r>
      <w:r w:rsidR="006B0292" w:rsidRPr="006B0292">
        <w:rPr>
          <w:noProof/>
          <w:lang w:val="en-ID"/>
        </w:rPr>
        <w:t>entang Perseroan Terbatas</w:t>
      </w:r>
      <w:r w:rsidR="006B0292" w:rsidRPr="006B0292">
        <w:rPr>
          <w:lang w:val="en-US"/>
        </w:rPr>
        <w:fldChar w:fldCharType="end"/>
      </w:r>
      <w:r w:rsidR="006B0292" w:rsidRPr="006B0292">
        <w:rPr>
          <w:lang w:val="en-ID"/>
        </w:rPr>
        <w:t>.</w:t>
      </w:r>
      <w:r w:rsidR="00290D46">
        <w:rPr>
          <w:lang w:val="en-ID"/>
        </w:rPr>
        <w:t xml:space="preserve"> </w:t>
      </w:r>
    </w:p>
    <w:p w14:paraId="22698A96" w14:textId="77777777" w:rsidR="005127B1" w:rsidRDefault="00290D46" w:rsidP="005127B1">
      <w:pPr>
        <w:ind w:firstLine="720"/>
        <w:rPr>
          <w:lang w:val="en-ID"/>
        </w:rPr>
      </w:pPr>
      <w:r>
        <w:rPr>
          <w:lang w:val="en-ID"/>
        </w:rPr>
        <w:t>P</w:t>
      </w:r>
      <w:r w:rsidR="006B0292" w:rsidRPr="006B0292">
        <w:rPr>
          <w:lang w:val="en-ID"/>
        </w:rPr>
        <w:t xml:space="preserve">enelitian Evans &amp; Kasztelnik </w:t>
      </w:r>
      <w:r w:rsidR="006B0292" w:rsidRPr="006B0292">
        <w:rPr>
          <w:lang w:val="en-ID"/>
        </w:rPr>
        <w:fldChar w:fldCharType="begin" w:fldLock="1"/>
      </w:r>
      <w:r w:rsidR="006B0292" w:rsidRPr="006B0292">
        <w:rPr>
          <w:lang w:val="en-ID"/>
        </w:rPr>
        <w:instrText>ADDIN CSL_CITATION {"citationItems":[{"id":"ITEM-1","itemData":{"DOI":"10.61093/bel.9(3).145-179.2025","ISSN":"25206311","abstract":"This study investigates how perceptions of corporate social responsibility (CSR) moderate the relationship between organizational commitment and key employee outcomes – motivation, engagement, and job satisfaction. Using quantitative correlational design, validated instruments (Meyer and Allen’s three-component model of organizational commitment, the Work Extrinsic and Intrinsic Motivation Scale, the Utrecht Work Engagement Scale, and the Minnesota Satisfaction Questionnaire) were administered via structured surveys across multiple organizations. The survey was conducted in the United States in 2024 with a sample of 271 employees (N = 271). Pearson correlations and moderation tests assessed the strength and direction of these relationships across employee subgroups. Results show that stronger CSR perceptions significantly amplify the positive effects of organizational commitment on motivation, engagement, and job satisfaction, while weaker CSR perceptions attenuate these links. The findings address a gap in the literature by isolating employees’ CSR perceptions as a boundary condition and provide evidence-based guidance for leaders seeking to align CSR strategy with HR initiatives. Practically, credible CSR initiatives can magnify the returns of commitment programs, improving employee well-being, engagement, and sustainable organizational performance.","author":[{"dropping-particle":"","family":"Evans","given":"Jeffrey","non-dropping-particle":"","parse-names":false,"suffix":""},{"dropping-particle":"","family":"Kasztelnik","given":"Karina","non-dropping-particle":"","parse-names":false,"suffix":""}],"container-title":"Business Ethics and Leadership","id":"ITEM-1","issue":"3","issued":{"date-parts":[["2025"]]},"page":"145-179","title":"The Moderating Role of Corporate Social Responsibility in Strengthening the Link Between Organizational Commitment and Employee Outcomes","type":"article-journal","volume":"9"},"suppress-author":1,"uris":["http://www.mendeley.com/documents/?uuid=ab55ee78-f675-4c80-82b5-d4216cf93969"]}],"mendeley":{"formattedCitation":"(2025)","plainTextFormattedCitation":"(2025)","previouslyFormattedCitation":"(2025)"},"properties":{"noteIndex":0},"schema":"https://github.com/citation-style-language/schema/raw/master/csl-citation.json"}</w:instrText>
      </w:r>
      <w:r w:rsidR="006B0292" w:rsidRPr="006B0292">
        <w:rPr>
          <w:lang w:val="en-ID"/>
        </w:rPr>
        <w:fldChar w:fldCharType="separate"/>
      </w:r>
      <w:r w:rsidR="006B0292" w:rsidRPr="006B0292">
        <w:rPr>
          <w:noProof/>
          <w:lang w:val="en-ID"/>
        </w:rPr>
        <w:t>(2025)</w:t>
      </w:r>
      <w:r w:rsidR="006B0292" w:rsidRPr="006B0292">
        <w:rPr>
          <w:lang w:val="en-US"/>
        </w:rPr>
        <w:fldChar w:fldCharType="end"/>
      </w:r>
      <w:r w:rsidR="006B0292" w:rsidRPr="006B0292">
        <w:rPr>
          <w:lang w:val="en-ID"/>
        </w:rPr>
        <w:t xml:space="preserve"> yang menjelaskan bahwa </w:t>
      </w:r>
      <w:r w:rsidR="006B0292" w:rsidRPr="006B0292">
        <w:rPr>
          <w:lang w:val="en-ID"/>
        </w:rPr>
        <w:fldChar w:fldCharType="begin" w:fldLock="1"/>
      </w:r>
      <w:r w:rsidR="006B0292" w:rsidRPr="006B0292">
        <w:rPr>
          <w:lang w:val="en-ID"/>
        </w:rPr>
        <w:instrText>ADDIN CSL_CITATION {"citationItems":[{"id":"ITEM-1","itemData":{"author":[{"dropping-particle":"","family":"Carroll","given":"Archie B.","non-dropping-particle":"","parse-names":false,"suffix":""}],"container-title":"Busieness Horizons","id":"ITEM-1","issued":{"date-parts":[["1991"]]},"title":"The pyramide of Corporate Social Responsibility: Toward the Moral Management of Organizational Stakeholders","type":"article"},"uris":["http://www.mendeley.com/documents/?uuid=ab8596aa-bf1b-4676-9bc5-ac739ac87e1f"]}],"mendeley":{"formattedCitation":"(Carroll, 1991)","plainTextFormattedCitation":"(Carroll, 1991)","previouslyFormattedCitation":"(Carroll, 1991)"},"properties":{"noteIndex":0},"schema":"https://github.com/citation-style-language/schema/raw/master/csl-citation.json"}</w:instrText>
      </w:r>
      <w:r w:rsidR="006B0292" w:rsidRPr="006B0292">
        <w:rPr>
          <w:lang w:val="en-ID"/>
        </w:rPr>
        <w:fldChar w:fldCharType="separate"/>
      </w:r>
      <w:r w:rsidR="006B0292" w:rsidRPr="006B0292">
        <w:rPr>
          <w:noProof/>
          <w:lang w:val="en-ID"/>
        </w:rPr>
        <w:t>(Carroll, 1991)</w:t>
      </w:r>
      <w:r w:rsidR="006B0292" w:rsidRPr="006B0292">
        <w:rPr>
          <w:lang w:val="en-US"/>
        </w:rPr>
        <w:fldChar w:fldCharType="end"/>
      </w:r>
      <w:r w:rsidR="006B0292" w:rsidRPr="006B0292">
        <w:rPr>
          <w:lang w:val="en-ID"/>
        </w:rPr>
        <w:t xml:space="preserve"> membagi tanggung jawab perusahaan ke dalam empat tingkatan yang disusun seperti piramida, yaitu: (1) tanggung jawab ekonomi, di mana perusahaan harus mampu menghasilkan keuntungan; (2) tanggung jawab hukum, yaitu kewajiban untuk mematuhi seluruh peraturan yang berlaku; (3) tanggung jawab etis, yakni dorongan untuk bertindak secara benar dan adil meskipun tidak selalu tertulis dalam hukum; dan (4) tanggung jawab filantropi, yaitu peran perusahaan sebagai bagian dari masyarakat yang peduli terhadap lingkungan sekitarnya. </w:t>
      </w:r>
    </w:p>
    <w:p w14:paraId="042EF383" w14:textId="7048581F" w:rsidR="00581DBD" w:rsidRDefault="006B0292" w:rsidP="005127B1">
      <w:pPr>
        <w:ind w:firstLine="720"/>
        <w:rPr>
          <w:lang w:val="en-ID"/>
        </w:rPr>
      </w:pPr>
      <w:r w:rsidRPr="006B0292">
        <w:rPr>
          <w:lang w:val="en-ID"/>
        </w:rPr>
        <w:t>Hal tersebut menunjukkan bahwa CSR merupakan wujud nyata komitmen dunia usaha untuk mendukung pembangunan ekonomi yang keberlanjutan melalui kerja sama dengan karyawan, keluarga mereka, serta masyarakat sekitar guna meningkatkan kualitas hidup secara menyeluruh.</w:t>
      </w:r>
    </w:p>
    <w:p w14:paraId="0547A4FD" w14:textId="1D116BE0" w:rsidR="00581DBD" w:rsidRDefault="00581DBD" w:rsidP="00581DBD">
      <w:pPr>
        <w:rPr>
          <w:rFonts w:cs="Times New Roman"/>
          <w:szCs w:val="24"/>
          <w:lang w:val="en-ID"/>
        </w:rPr>
      </w:pPr>
      <w:r>
        <w:rPr>
          <w:lang w:val="en-ID"/>
        </w:rPr>
        <w:tab/>
      </w:r>
      <w:r w:rsidR="00C55DF1" w:rsidRPr="00C55DF1">
        <w:rPr>
          <w:rFonts w:cs="Times New Roman"/>
          <w:szCs w:val="24"/>
        </w:rPr>
        <w:t>Pemerintah melalui Otoritas Jasa Keuangan (OJK) turut mendorong penerapan CSR secara lebih teratur dengan menerbitkan Peraturan Otoritas Jasa Keuangan Nomor 51/POJK.03/2017 tentang Penerapan Keuangan Berkelanjutan bagi Lembaga Jasa Keuangan, Emiten, dan Perusahaan Publik</w:t>
      </w:r>
      <w:r w:rsidR="006B0292" w:rsidRPr="006B0292">
        <w:rPr>
          <w:rFonts w:cs="Times New Roman"/>
          <w:szCs w:val="24"/>
          <w:lang w:val="en-ID"/>
        </w:rPr>
        <w:t>. Peraturan ini mewajibkan perusahaan yang terdaftar di BEI, termasuk perusahaan manufaktur, untuk menyusun Laporan Keberlanjutan (</w:t>
      </w:r>
      <w:r w:rsidR="006B0292" w:rsidRPr="006B0292">
        <w:rPr>
          <w:rFonts w:cs="Times New Roman"/>
          <w:i/>
          <w:iCs/>
          <w:szCs w:val="24"/>
          <w:lang w:val="en-ID"/>
        </w:rPr>
        <w:t>Sustainability Report</w:t>
      </w:r>
      <w:r w:rsidR="006B0292" w:rsidRPr="006B0292">
        <w:rPr>
          <w:rFonts w:cs="Times New Roman"/>
          <w:szCs w:val="24"/>
          <w:lang w:val="en-ID"/>
        </w:rPr>
        <w:t xml:space="preserve">) yang memuat rincian langkah-langkah pelaksanaan Rencana Aksi Keuangan Berkelanjutan. </w:t>
      </w:r>
      <w:r w:rsidR="005127B1" w:rsidRPr="005127B1">
        <w:rPr>
          <w:rFonts w:cs="Times New Roman"/>
          <w:szCs w:val="24"/>
          <w:lang w:val="en-ID"/>
        </w:rPr>
        <w:lastRenderedPageBreak/>
        <w:t>Perusahaan dituntut untuk mengungkapkan dampak kegiatan produksinya terhadap lingkungan dan masyarakat sebagai bentuk pertanggungjawaban kepada regulator maupun kepada pihak pemberi dana seperti perbankan</w:t>
      </w:r>
      <w:r w:rsidR="006B0292" w:rsidRPr="006B0292">
        <w:rPr>
          <w:rFonts w:cs="Times New Roman"/>
          <w:szCs w:val="24"/>
          <w:lang w:val="en-ID"/>
        </w:rPr>
        <w:t>.</w:t>
      </w:r>
    </w:p>
    <w:p w14:paraId="11D868A8" w14:textId="471A893C" w:rsidR="006B0292" w:rsidRPr="006B0292" w:rsidRDefault="00581DBD" w:rsidP="00581DBD">
      <w:pPr>
        <w:rPr>
          <w:rFonts w:cstheme="majorBidi"/>
          <w:b/>
          <w:bCs/>
          <w:lang w:val="id-ID"/>
        </w:rPr>
      </w:pPr>
      <w:r>
        <w:rPr>
          <w:rFonts w:cs="Times New Roman"/>
          <w:szCs w:val="24"/>
          <w:lang w:val="en-ID"/>
        </w:rPr>
        <w:tab/>
      </w:r>
      <w:r w:rsidR="005127B1" w:rsidRPr="005127B1">
        <w:rPr>
          <w:rFonts w:cs="Times New Roman"/>
          <w:szCs w:val="24"/>
          <w:lang w:val="en-ID"/>
        </w:rPr>
        <w:t xml:space="preserve">Penilaian atas efektivitas penerapan CSR pada suatu perusahaan memerlukan tolak ukur yang terstandarisasi dan dapat diterapkan secara konsisten dari waktu ke waktu. Kerangka yang umum digunakan adalah dimensi </w:t>
      </w:r>
      <w:r w:rsidR="005127B1" w:rsidRPr="005127B1">
        <w:rPr>
          <w:rFonts w:cs="Times New Roman"/>
          <w:i/>
          <w:iCs/>
          <w:szCs w:val="24"/>
          <w:lang w:val="en-ID"/>
        </w:rPr>
        <w:t>Social</w:t>
      </w:r>
      <w:r w:rsidR="005127B1" w:rsidRPr="005127B1">
        <w:rPr>
          <w:rFonts w:cs="Times New Roman"/>
          <w:szCs w:val="24"/>
          <w:lang w:val="en-ID"/>
        </w:rPr>
        <w:t xml:space="preserve"> dalam ESG</w:t>
      </w:r>
      <w:r w:rsidR="005127B1">
        <w:rPr>
          <w:rFonts w:cs="Times New Roman"/>
          <w:szCs w:val="24"/>
          <w:lang w:val="en-ID"/>
        </w:rPr>
        <w:t>.</w:t>
      </w:r>
      <w:r w:rsidR="006B0292" w:rsidRPr="006B0292">
        <w:rPr>
          <w:rFonts w:cs="Times New Roman"/>
          <w:szCs w:val="24"/>
          <w:lang w:val="en-ID"/>
        </w:rPr>
        <w:t xml:space="preserve"> </w:t>
      </w:r>
      <w:r w:rsidR="005127B1" w:rsidRPr="005127B1">
        <w:rPr>
          <w:rFonts w:cs="Times New Roman"/>
          <w:szCs w:val="24"/>
          <w:lang w:val="en-ID"/>
        </w:rPr>
        <w:t>Dimensi ini merupakan indikator untuk mengomunikasikan komitmen perusahaan terhadap tanggung jawab sosial kepada berbagai pihak yang berkepentingan. Pengungkapan informasi berbasis aspek sosial ini tidak serta-merta berdampak langsung pada peningkatan kinerja perusahaan. Pengungkapan tersebut pada dasarnya lebih ditujukan untuk memenuhi tuntutan regulasi dan memperoleh pengakuan dari masyarakat, bukan untuk menghasilkan nilai ekonomi secara langsung dan terukur</w:t>
      </w:r>
      <w:r w:rsidR="005127B1">
        <w:rPr>
          <w:rFonts w:cs="Times New Roman"/>
          <w:szCs w:val="24"/>
          <w:lang w:val="en-ID"/>
        </w:rPr>
        <w:t xml:space="preserve"> </w:t>
      </w:r>
      <w:r w:rsidR="006B0292" w:rsidRPr="006B0292">
        <w:rPr>
          <w:rFonts w:cs="Times New Roman"/>
          <w:szCs w:val="24"/>
          <w:lang w:val="en-ID"/>
        </w:rPr>
        <w:fldChar w:fldCharType="begin" w:fldLock="1"/>
      </w:r>
      <w:r w:rsidR="006B0292" w:rsidRPr="006B0292">
        <w:rPr>
          <w:rFonts w:cs="Times New Roman"/>
          <w:szCs w:val="24"/>
          <w:lang w:val="en-ID"/>
        </w:rPr>
        <w:instrText>ADDIN CSL_CITATION {"citationItems":[{"id":"ITEM-1","itemData":{"DOI":"10.25105/jet.v2i2.14321","abstract":"This study aims to examine the effect of environmental performance, corporate governance, and corporate social responsibility on the financial performance of food &amp; beverage companies on the Indonesia Stock Exchange in 2018 – 2020. The independent variables in this study are PROPER, Audit Committee, Proportion of Independent Commissioners, Ownership Managerial, Institutional Ownership, and CSR. While the dependent variable in this study is the company's financial performance. The sampling technique was carried out using the purposive sampling method, namely the technique of determining the sample with certain considerations. Data analysis techniques include (1) Descriptive Statistics (2) Classical Assumption Test includes Normality, Multicollinearity, Heteroscedasticity, and Autocorrelation (3) Multiple Linear Regression Testing (4) F Statistical Test (5) Hypothesis Testing (6) R2 Test. The sample used in this study is food &amp; beverage companies listed on the Indonesia Stock Exchange in 2018 - 2020, with a total of 31 companies per year and there are 93 research samples that meet the criteria. The results of this study conclude that the PROPER variable affects the company's financial performance, the audit committee variable, the proportion of independent commissioners, managerial ownership, institutional ownership affects the company's financial performance, and CSR has an effect on the company's financial performance. Tujuan penelitian guna menguji pengaruh environmental performance, corporate governance, dan corporate social responsibility terhadap kinerja keuangan perusahaan food &amp; beverage di Bursa Efek Indonesia pada tahun 2018 – 2020. PROPER, Komite Audit, Kepemilikan Manajerial, Proporsi Dewan Komisaris Independen, Kepemilikan Institusional, dan CSR dijadikan variabel bebas penelitian ini. Sementara kinerja keuangan perusahaan dijadikan variabel terikat penelitian ini. Metode purposive sampling dijadikan sebagai teknik sampling yakni dengan mengacu suatu pertimbangan khusus. Data dianalisis melalui teknik (1) Statistik Deskriptif (2) Uji Asumsi Klasik (3) Analisis Regresi Linear Berganda (4) Uji Hipotesis (5) Uji Statistik F (6) Uji R2. Sejumlah 31 perusahaan food &amp; beverage yang terdaftar di Bursa Efek Indonesia tahun 2018 – 2020 dijadikan sampel penelitian ini serta serta sampel yang sesuai kriteria didapatkan sejumlah 93. Penelitian menghasilkan yaitu variabel PROPER berpengaruh terhadap kinerja keuangan perusahaan, variabel komite audit, prop…","author":[{"dropping-particle":"","family":"Solihah","given":"Ai Pupung","non-dropping-particle":"","parse-names":false,"suffix":""},{"dropping-particle":"","family":"Fadilah","given":"Sri","non-dropping-particle":"","parse-names":false,"suffix":""}],"container-title":"Jurnal Ekonomi Trisakti","id":"ITEM-1","issue":"2","issued":{"date-parts":[["2022"]]},"page":"475-486","title":"Pengaruh Environmental Performance, Corporate Governance, Dan Corporate Social Responsibility Terhadap Kinerja Keuangan","type":"article-journal","volume":"2"},"uris":["http://www.mendeley.com/documents/?uuid=72aede2d-bf2e-48ec-8e80-290ba1d6fc4d"]}],"mendeley":{"formattedCitation":"(Solihah &amp; Fadilah, 2022)","plainTextFormattedCitation":"(Solihah &amp; Fadilah, 2022)","previouslyFormattedCitation":"(Solihah &amp; Fadilah, 2022)"},"properties":{"noteIndex":0},"schema":"https://github.com/citation-style-language/schema/raw/master/csl-citation.json"}</w:instrText>
      </w:r>
      <w:r w:rsidR="006B0292" w:rsidRPr="006B0292">
        <w:rPr>
          <w:rFonts w:cs="Times New Roman"/>
          <w:szCs w:val="24"/>
          <w:lang w:val="en-ID"/>
        </w:rPr>
        <w:fldChar w:fldCharType="separate"/>
      </w:r>
      <w:r w:rsidR="006B0292" w:rsidRPr="006B0292">
        <w:rPr>
          <w:rFonts w:cs="Times New Roman"/>
          <w:noProof/>
          <w:szCs w:val="24"/>
          <w:lang w:val="en-ID"/>
        </w:rPr>
        <w:t>(Solihah &amp; Fadilah, 2022)</w:t>
      </w:r>
      <w:r w:rsidR="006B0292" w:rsidRPr="006B0292">
        <w:rPr>
          <w:rFonts w:cs="Times New Roman"/>
          <w:szCs w:val="24"/>
          <w:lang w:val="en-US"/>
        </w:rPr>
        <w:fldChar w:fldCharType="end"/>
      </w:r>
      <w:r w:rsidR="006B0292" w:rsidRPr="006B0292">
        <w:rPr>
          <w:rFonts w:cs="Times New Roman"/>
          <w:szCs w:val="24"/>
          <w:lang w:val="en-ID"/>
        </w:rPr>
        <w:t xml:space="preserve">. </w:t>
      </w:r>
    </w:p>
    <w:p w14:paraId="6F634A23" w14:textId="77777777" w:rsidR="00581DBD" w:rsidRDefault="00581DBD" w:rsidP="00581DBD">
      <w:pPr>
        <w:pStyle w:val="Heading3"/>
        <w:rPr>
          <w:b w:val="0"/>
          <w:bCs/>
          <w:color w:val="auto"/>
          <w:lang w:val="id-ID"/>
        </w:rPr>
      </w:pPr>
      <w:bookmarkStart w:id="7" w:name="_Toc235560212"/>
      <w:r w:rsidRPr="00581DBD">
        <w:rPr>
          <w:bCs/>
          <w:color w:val="auto"/>
          <w:lang w:val="en-US"/>
        </w:rPr>
        <w:t>2.1.3</w:t>
      </w:r>
      <w:r w:rsidRPr="00581DBD">
        <w:rPr>
          <w:bCs/>
          <w:color w:val="auto"/>
          <w:lang w:val="en-US"/>
        </w:rPr>
        <w:tab/>
      </w:r>
      <w:r w:rsidR="006B0292" w:rsidRPr="00581DBD">
        <w:rPr>
          <w:bCs/>
          <w:color w:val="auto"/>
          <w:lang w:val="id-ID"/>
        </w:rPr>
        <w:t>Kepemilikan Manajerial</w:t>
      </w:r>
      <w:bookmarkEnd w:id="7"/>
    </w:p>
    <w:p w14:paraId="22ECE607" w14:textId="77777777" w:rsidR="00581DBD" w:rsidRDefault="00581DBD" w:rsidP="00581DBD">
      <w:pPr>
        <w:rPr>
          <w:lang w:val="en-ID"/>
        </w:rPr>
      </w:pPr>
      <w:r>
        <w:rPr>
          <w:lang w:val="en-ID"/>
        </w:rPr>
        <w:tab/>
      </w:r>
      <w:r w:rsidR="006B0292" w:rsidRPr="006B0292">
        <w:rPr>
          <w:lang w:val="en-ID"/>
        </w:rPr>
        <w:t>Kepemilikan manajerial merupakan salah satu bentuk mekanisme tata kelola perusahaan (</w:t>
      </w:r>
      <w:r w:rsidR="006B0292" w:rsidRPr="006B0292">
        <w:rPr>
          <w:i/>
          <w:lang w:val="en-ID"/>
        </w:rPr>
        <w:t>corporate governance</w:t>
      </w:r>
      <w:r w:rsidR="006B0292" w:rsidRPr="006B0292">
        <w:rPr>
          <w:lang w:val="en-ID"/>
        </w:rPr>
        <w:t>) yang menggambarkan seberapa besar porsi saham perusahaan yang dimiliki oleh pihak manajemen, baik yang menduduki posisi dewan direksi maupun dewan komisaris, dari keseluruhan saham yang beredar (</w:t>
      </w:r>
      <w:r w:rsidR="006B0292" w:rsidRPr="006B0292">
        <w:rPr>
          <w:i/>
          <w:lang w:val="en-ID"/>
        </w:rPr>
        <w:t>outstanding shares</w:t>
      </w:r>
      <w:r w:rsidR="006B0292" w:rsidRPr="006B0292">
        <w:rPr>
          <w:lang w:val="en-ID"/>
        </w:rPr>
        <w:t xml:space="preserve">). Kondisi ini menciptakan situasi di mana manajemen tidak hanya berperan sebagai pengelola operasional perusahaan, tetapi sekaligus menjadi pemilik saham yang memiliki hak atas pembagian keuntungan perusahaan, sebagaimana pemegang saham pada umumnya </w:t>
      </w:r>
      <w:r w:rsidR="006B0292" w:rsidRPr="006B0292">
        <w:rPr>
          <w:lang w:val="en-ID"/>
        </w:rPr>
        <w:fldChar w:fldCharType="begin" w:fldLock="1"/>
      </w:r>
      <w:r w:rsidR="006B0292" w:rsidRPr="006B0292">
        <w:rPr>
          <w:lang w:val="en-ID"/>
        </w:rPr>
        <w:instrText>ADDIN CSL_CITATION {"citationItems":[{"id":"ITEM-1","itemData":{"author":[{"dropping-particle":"","family":"Hanafiah","given":"Rianti","non-dropping-particle":"","parse-names":false,"suffix":""},{"dropping-particle":"","family":"Rahmi","given":"Elvi","non-dropping-particle":"","parse-names":false,"suffix":""}],"id":"ITEM-1","issue":"2","issued":{"date-parts":[["2025"]]},"page":"748-762","title":"Kepemilikan Manajerial, Kepemilikan Institusional dan Proporsi Dewan Komisaris Independen terhadap Financial Distress","type":"article-journal","volume":"9"},"uris":["http://www.mendeley.com/documents/?uuid=866fc771-3205-4539-b7b9-e9fc9d1d777e"]}],"mendeley":{"formattedCitation":"(Hanafiah &amp; Rahmi, 2025)","plainTextFormattedCitation":"(Hanafiah &amp; Rahmi, 2025)","previouslyFormattedCitation":"(Hanafiah &amp; Rahmi, 2025)"},"properties":{"noteIndex":0},"schema":"https://github.com/citation-style-language/schema/raw/master/csl-citation.json"}</w:instrText>
      </w:r>
      <w:r w:rsidR="006B0292" w:rsidRPr="006B0292">
        <w:rPr>
          <w:lang w:val="en-ID"/>
        </w:rPr>
        <w:fldChar w:fldCharType="separate"/>
      </w:r>
      <w:r w:rsidR="006B0292" w:rsidRPr="006B0292">
        <w:rPr>
          <w:noProof/>
          <w:lang w:val="en-ID"/>
        </w:rPr>
        <w:t>(Hanafiah &amp; Rahmi, 2025)</w:t>
      </w:r>
      <w:r w:rsidR="006B0292" w:rsidRPr="006B0292">
        <w:rPr>
          <w:lang w:val="en-US"/>
        </w:rPr>
        <w:fldChar w:fldCharType="end"/>
      </w:r>
      <w:r w:rsidR="006B0292" w:rsidRPr="006B0292">
        <w:rPr>
          <w:lang w:val="en-ID"/>
        </w:rPr>
        <w:t>.</w:t>
      </w:r>
    </w:p>
    <w:p w14:paraId="52655352" w14:textId="77777777" w:rsidR="00581DBD" w:rsidRDefault="00581DBD" w:rsidP="00581DBD">
      <w:pPr>
        <w:rPr>
          <w:rFonts w:cs="Times New Roman"/>
          <w:iCs/>
          <w:szCs w:val="24"/>
          <w:lang w:val="en-ID"/>
        </w:rPr>
      </w:pPr>
      <w:r>
        <w:rPr>
          <w:lang w:val="en-ID"/>
        </w:rPr>
        <w:tab/>
      </w:r>
      <w:r w:rsidR="006B0292" w:rsidRPr="006B0292">
        <w:rPr>
          <w:rFonts w:cs="Times New Roman"/>
          <w:iCs/>
          <w:szCs w:val="24"/>
          <w:lang w:val="en-ID"/>
        </w:rPr>
        <w:t xml:space="preserve">Teori ini menjelaskan hubungan antara dua pihak utama dalam sebuah </w:t>
      </w:r>
      <w:r w:rsidR="006B0292" w:rsidRPr="006B0292">
        <w:rPr>
          <w:rFonts w:cs="Times New Roman"/>
          <w:iCs/>
          <w:szCs w:val="24"/>
          <w:lang w:val="en-ID"/>
        </w:rPr>
        <w:lastRenderedPageBreak/>
        <w:t xml:space="preserve">perusahaan, yaitu prinsipal (pemilik atau pemegang saham) dan agen (manajemen sebagai pengelola perusahaan). Dimana pada teori agensi yang menjelaskan bahwa agen sering memiliki tujuan dan kepentingan yang berbeda dari prinsipal, sehingga dapat menimbulkan konflik kepentingan di antara keduanya. Konflik kepentingan tersebut semakin diperkuat oleh adanya asimetri informasi, di mana manajemen selaku agen memiliki akses dan pengetahuan yang jauh lebih besar mengenai kondisi internal perusahaan dibandingkan dengan pemilik saham selaku prinsipal. Kondisi asimetri informasi ini membuka peluang bagi manajemen untuk mengambil keputusan yang lebih mengutamakan kepentingan pribadi dibanding kepentingan pemegang saham </w:t>
      </w:r>
      <w:r w:rsidR="006B0292" w:rsidRPr="006B0292">
        <w:rPr>
          <w:rFonts w:cs="Times New Roman"/>
          <w:iCs/>
          <w:szCs w:val="24"/>
          <w:lang w:val="en-ID"/>
        </w:rPr>
        <w:fldChar w:fldCharType="begin" w:fldLock="1"/>
      </w:r>
      <w:r w:rsidR="006B0292" w:rsidRPr="006B0292">
        <w:rPr>
          <w:rFonts w:cs="Times New Roman"/>
          <w:iCs/>
          <w:szCs w:val="24"/>
          <w:lang w:val="en-ID"/>
        </w:rPr>
        <w:instrText>ADDIN CSL_CITATION {"citationItems":[{"id":"ITEM-1","itemData":{"author":[{"dropping-particle":"","family":"Saputri","given":"Sevty Wahiddirani","non-dropping-particle":"","parse-names":false,"suffix":""},{"dropping-particle":"","family":"Oktavianna","given":"Rakhmawati","non-dropping-particle":"","parse-names":false,"suffix":""},{"dropping-particle":"","family":"Benarda","given":"","non-dropping-particle":"","parse-names":false,"suffix":""},{"dropping-particle":"","family":"Rahmadani","given":"Lulu Septia","non-dropping-particle":"","parse-names":false,"suffix":""},{"dropping-particle":"","family":"Nurhaliza","given":"Zihan","non-dropping-particle":"","parse-names":false,"suffix":""}],"id":"ITEM-1","issue":"1","issued":{"date-parts":[["2026"]]},"page":"112-124","title":"Meningkatkan Nilai Perusahaan : Peran Pertumbuhan Penjualan dan Kepemilikan Manajerial dengan Ukuran Perusahaan sebagai Faktor Moderasi","type":"article-journal","volume":"11"},"uris":["http://www.mendeley.com/documents/?uuid=294a3e92-bd1d-477c-b170-706b1ac48221"]},{"id":"ITEM-2","itemData":{"author":[{"dropping-particle":"","family":"Aulia","given":"Nurul","non-dropping-particle":"","parse-names":false,"suffix":""},{"dropping-particle":"","family":"Hikmat","given":"Asep","non-dropping-particle":"","parse-names":false,"suffix":""},{"dropping-particle":"","family":"Nur","given":"Tuah","non-dropping-particle":"","parse-names":false,"suffix":""},{"dropping-particle":"","family":"Saleh","given":"Munandi","non-dropping-particle":"","parse-names":false,"suffix":""}],"id":"ITEM-2","issued":{"date-parts":[["2026"]]},"page":"64-76","title":"PENGARUH KEPEMILIKAN INSTITUSIONAL, KEPEMILIKAN MANAJERIAL, DAN KOMITE AUDIT TERHADAP NILAI PERUSAHAAN BANK BUMN PERIODE 2021-2024","type":"article-journal","volume":"8"},"uris":["http://www.mendeley.com/documents/?uuid=53e9780c-a424-4933-bc11-eb650ce8157c"]},{"id":"ITEM-3","itemData":{"author":[{"dropping-particle":"","family":"Hanafiah","given":"Rianti","non-dropping-particle":"","parse-names":false,"suffix":""},{"dropping-particle":"","family":"Rahmi","given":"Elvi","non-dropping-particle":"","parse-names":false,"suffix":""}],"id":"ITEM-3","issue":"2","issued":{"date-parts":[["2025"]]},"page":"748-762","title":"Kepemilikan Manajerial, Kepemilikan Institusional dan Proporsi Dewan Komisaris Independen terhadap Financial Distress","type":"article-journal","volume":"9"},"uris":["http://www.mendeley.com/documents/?uuid=866fc771-3205-4539-b7b9-e9fc9d1d777e"]}],"mendeley":{"formattedCitation":"(Aulia et al., 2026; Hanafiah &amp; Rahmi, 2025; Saputri et al., 2026)","plainTextFormattedCitation":"(Aulia et al., 2026; Hanafiah &amp; Rahmi, 2025; Saputri et al., 2026)","previouslyFormattedCitation":"(Aulia et al., 2026; Hanafiah &amp; Rahmi, 2025; Saputri et al., 2026)"},"properties":{"noteIndex":0},"schema":"https://github.com/citation-style-language/schema/raw/master/csl-citation.json"}</w:instrText>
      </w:r>
      <w:r w:rsidR="006B0292" w:rsidRPr="006B0292">
        <w:rPr>
          <w:rFonts w:cs="Times New Roman"/>
          <w:iCs/>
          <w:szCs w:val="24"/>
          <w:lang w:val="en-ID"/>
        </w:rPr>
        <w:fldChar w:fldCharType="separate"/>
      </w:r>
      <w:r w:rsidR="006B0292" w:rsidRPr="006B0292">
        <w:rPr>
          <w:rFonts w:cs="Times New Roman"/>
          <w:iCs/>
          <w:noProof/>
          <w:szCs w:val="24"/>
          <w:lang w:val="en-ID"/>
        </w:rPr>
        <w:t>(Aulia et al., 2026; Hanafiah &amp; Rahmi, 2025; Saputri et al., 2026)</w:t>
      </w:r>
      <w:r w:rsidR="006B0292" w:rsidRPr="006B0292">
        <w:rPr>
          <w:rFonts w:cs="Times New Roman"/>
          <w:szCs w:val="24"/>
          <w:lang w:val="en-US"/>
        </w:rPr>
        <w:fldChar w:fldCharType="end"/>
      </w:r>
      <w:r w:rsidR="006B0292" w:rsidRPr="006B0292">
        <w:rPr>
          <w:rFonts w:cs="Times New Roman"/>
          <w:iCs/>
          <w:szCs w:val="24"/>
          <w:lang w:val="en-ID"/>
        </w:rPr>
        <w:t>.</w:t>
      </w:r>
    </w:p>
    <w:p w14:paraId="1B6250FF" w14:textId="12534E39" w:rsidR="006B0292" w:rsidRPr="006B0292" w:rsidRDefault="00581DBD" w:rsidP="00581DBD">
      <w:pPr>
        <w:rPr>
          <w:rFonts w:cstheme="majorBidi"/>
          <w:b/>
          <w:bCs/>
          <w:lang w:val="id-ID"/>
        </w:rPr>
      </w:pPr>
      <w:r>
        <w:rPr>
          <w:rFonts w:cs="Times New Roman"/>
          <w:iCs/>
          <w:szCs w:val="24"/>
          <w:lang w:val="en-ID"/>
        </w:rPr>
        <w:tab/>
      </w:r>
      <w:r w:rsidR="004E49D0">
        <w:rPr>
          <w:rFonts w:cs="Times New Roman"/>
          <w:iCs/>
          <w:szCs w:val="24"/>
          <w:lang w:val="en-ID"/>
        </w:rPr>
        <w:t>K</w:t>
      </w:r>
      <w:r w:rsidR="006B0292" w:rsidRPr="006B0292">
        <w:rPr>
          <w:rFonts w:cs="Times New Roman"/>
          <w:iCs/>
          <w:szCs w:val="24"/>
          <w:lang w:val="en-ID"/>
        </w:rPr>
        <w:t>epemilikan manajerial diukur dengan menghitung total persentase saham yang dimiliki oleh seluruh pihak yang menduduki jabatan manajerial strategis dalam perusahaan, seperti direktur utama, direktur keuangan, komisaris utama, dan anggota dewan komisaris lainnya. Data mengenai kepemilikan ini umumnya diungkapkan secara transparan dalam laporan tahunan (</w:t>
      </w:r>
      <w:r w:rsidR="006B0292" w:rsidRPr="006B0292">
        <w:rPr>
          <w:rFonts w:cs="Times New Roman"/>
          <w:i/>
          <w:iCs/>
          <w:szCs w:val="24"/>
          <w:lang w:val="en-ID"/>
        </w:rPr>
        <w:t>annual report</w:t>
      </w:r>
      <w:r w:rsidR="006B0292" w:rsidRPr="006B0292">
        <w:rPr>
          <w:rFonts w:cs="Times New Roman"/>
          <w:iCs/>
          <w:szCs w:val="24"/>
          <w:lang w:val="en-ID"/>
        </w:rPr>
        <w:t xml:space="preserve">) maupun laporan keuangan yang dipublikasikan perusahaan. Nilai kepemilikan manajerial dinyatakan dalam satuan persentase (%). Semakin tinggi persentase kepemilikan manajemen atas saham perusahaan, semakin besar pula kendali dan pengaruh manajemen dalam menentukan arah dan kebijakan strategis perusahaan. Sebaliknya, rendahnya proporsi kepemilikan manajerial mengindikasikan bahwa sebagian besar saham dikuasai oleh pihak eksternal, sehingga potensi konflik kepentingan antara manajemen dan pemegang saham cenderung lebih besar. </w:t>
      </w:r>
      <w:r w:rsidR="006B0292" w:rsidRPr="006B0292">
        <w:rPr>
          <w:rFonts w:cs="Times New Roman"/>
          <w:iCs/>
          <w:szCs w:val="24"/>
          <w:lang w:val="en-ID"/>
        </w:rPr>
        <w:lastRenderedPageBreak/>
        <w:fldChar w:fldCharType="begin" w:fldLock="1"/>
      </w:r>
      <w:r w:rsidR="006B0292" w:rsidRPr="006B0292">
        <w:rPr>
          <w:rFonts w:cs="Times New Roman"/>
          <w:iCs/>
          <w:szCs w:val="24"/>
          <w:lang w:val="en-ID"/>
        </w:rPr>
        <w:instrText>ADDIN CSL_CITATION {"citationItems":[{"id":"ITEM-1","itemData":{"author":[{"dropping-particle":"","family":"Hanafiah","given":"Rianti","non-dropping-particle":"","parse-names":false,"suffix":""},{"dropping-particle":"","family":"Rahmi","given":"Elvi","non-dropping-particle":"","parse-names":false,"suffix":""}],"id":"ITEM-1","issue":"2","issued":{"date-parts":[["2025"]]},"page":"748-762","title":"Kepemilikan Manajerial, Kepemilikan Institusional dan Proporsi Dewan Komisaris Independen terhadap Financial Distress","type":"article-journal","volume":"9"},"uris":["http://www.mendeley.com/documents/?uuid=866fc771-3205-4539-b7b9-e9fc9d1d777e"]}],"mendeley":{"formattedCitation":"(Hanafiah &amp; Rahmi, 2025)","plainTextFormattedCitation":"(Hanafiah &amp; Rahmi, 2025)","previouslyFormattedCitation":"(Hanafiah &amp; Rahmi, 2025)"},"properties":{"noteIndex":0},"schema":"https://github.com/citation-style-language/schema/raw/master/csl-citation.json"}</w:instrText>
      </w:r>
      <w:r w:rsidR="006B0292" w:rsidRPr="006B0292">
        <w:rPr>
          <w:rFonts w:cs="Times New Roman"/>
          <w:iCs/>
          <w:szCs w:val="24"/>
          <w:lang w:val="en-ID"/>
        </w:rPr>
        <w:fldChar w:fldCharType="separate"/>
      </w:r>
      <w:r w:rsidR="006B0292" w:rsidRPr="006B0292">
        <w:rPr>
          <w:rFonts w:cs="Times New Roman"/>
          <w:iCs/>
          <w:noProof/>
          <w:szCs w:val="24"/>
          <w:lang w:val="en-ID"/>
        </w:rPr>
        <w:t>(Hanafiah &amp; Rahmi, 2025)</w:t>
      </w:r>
      <w:r w:rsidR="006B0292" w:rsidRPr="006B0292">
        <w:rPr>
          <w:rFonts w:cs="Times New Roman"/>
          <w:szCs w:val="24"/>
          <w:lang w:val="en-US"/>
        </w:rPr>
        <w:fldChar w:fldCharType="end"/>
      </w:r>
      <w:r w:rsidR="006B0292" w:rsidRPr="006B0292">
        <w:rPr>
          <w:rFonts w:cs="Times New Roman"/>
          <w:iCs/>
          <w:szCs w:val="24"/>
          <w:lang w:val="en-ID"/>
        </w:rPr>
        <w:t>.</w:t>
      </w:r>
    </w:p>
    <w:p w14:paraId="0CDF4F85" w14:textId="77777777" w:rsidR="00581DBD" w:rsidRDefault="00581DBD" w:rsidP="00581DBD">
      <w:pPr>
        <w:pStyle w:val="Heading3"/>
        <w:rPr>
          <w:b w:val="0"/>
          <w:bCs/>
          <w:color w:val="auto"/>
          <w:lang w:val="id-ID"/>
        </w:rPr>
      </w:pPr>
      <w:bookmarkStart w:id="8" w:name="_Toc235560213"/>
      <w:r w:rsidRPr="00581DBD">
        <w:rPr>
          <w:bCs/>
          <w:color w:val="auto"/>
          <w:lang w:val="en-US"/>
        </w:rPr>
        <w:t>2.1.4</w:t>
      </w:r>
      <w:r w:rsidRPr="00581DBD">
        <w:rPr>
          <w:bCs/>
          <w:color w:val="auto"/>
          <w:lang w:val="en-US"/>
        </w:rPr>
        <w:tab/>
      </w:r>
      <w:r w:rsidR="006B0292" w:rsidRPr="00581DBD">
        <w:rPr>
          <w:bCs/>
          <w:color w:val="auto"/>
          <w:lang w:val="id-ID"/>
        </w:rPr>
        <w:t>Kepemilikan Institusional</w:t>
      </w:r>
      <w:bookmarkEnd w:id="8"/>
    </w:p>
    <w:p w14:paraId="05D25040" w14:textId="1E034F9A" w:rsidR="00581DBD" w:rsidRDefault="00581DBD" w:rsidP="00581DBD">
      <w:pPr>
        <w:rPr>
          <w:lang w:val="en-ID"/>
        </w:rPr>
      </w:pPr>
      <w:r>
        <w:rPr>
          <w:lang w:val="en-ID"/>
        </w:rPr>
        <w:tab/>
      </w:r>
      <w:r w:rsidR="006B0292" w:rsidRPr="006B0292">
        <w:rPr>
          <w:lang w:val="en-ID"/>
        </w:rPr>
        <w:t xml:space="preserve">Kepemilikan institusional merujuk pada saham perusahaan yang dimiliki oleh pihak institusi. Berbeda dengan investor individu, investor institusional dipandang mampu menjalankan fungsi pengawasan terhadap manajemen secara lebih efektif karena memiliki sumber daya dan keahlian yang lebih memadai. </w:t>
      </w:r>
      <w:r w:rsidR="004E49D0" w:rsidRPr="004E49D0">
        <w:t>Besarnya porsi kepemilikan institusional memungkinkan dominasi kepemilikan tersebut untuk meningkatkan pengendalian terhadap kebijakan manajemen, sehingga mampu mencegah kecenderungan manajemen dalam mengambil tindakan yang dapat merugikan perusahaan</w:t>
      </w:r>
      <w:r w:rsidR="006B0292" w:rsidRPr="006B0292">
        <w:rPr>
          <w:lang w:val="en-ID"/>
        </w:rPr>
        <w:t xml:space="preserve">. Hal ini sejalan dengan pandangan bahwa kepemilikan institusional yang besar mendorong institusi untuk berperan aktif dalam mengawasi kinerja manajemen, sehingga keputusan yang diambil lebih selaras dengan tujuan perusahaan dan kepentingan pemegang saham secara keseluruhan </w:t>
      </w:r>
      <w:r w:rsidR="006B0292" w:rsidRPr="006B0292">
        <w:rPr>
          <w:lang w:val="en-ID"/>
        </w:rPr>
        <w:fldChar w:fldCharType="begin" w:fldLock="1"/>
      </w:r>
      <w:r w:rsidR="006B0292" w:rsidRPr="006B0292">
        <w:rPr>
          <w:lang w:val="en-ID"/>
        </w:rPr>
        <w:instrText>ADDIN CSL_CITATION {"citationItems":[{"id":"ITEM-1","itemData":{"author":[{"dropping-particle":"","family":"Hanafiah","given":"Rianti","non-dropping-particle":"","parse-names":false,"suffix":""},{"dropping-particle":"","family":"Rahmi","given":"Elvi","non-dropping-particle":"","parse-names":false,"suffix":""}],"id":"ITEM-1","issue":"2","issued":{"date-parts":[["2025"]]},"page":"748-762","title":"Kepemilikan Manajerial, Kepemilikan Institusional dan Proporsi Dewan Komisaris Independen terhadap Financial Distress","type":"article-journal","volume":"9"},"uris":["http://www.mendeley.com/documents/?uuid=866fc771-3205-4539-b7b9-e9fc9d1d777e"]},{"id":"ITEM-2","itemData":{"DOI":"10.24843/eja.2025.v35.i07.p05","abstract":"Firm value is an indicator of a company's condition, reflected through its share price. This research aims to provide empirical evidence on the influence of Enterprise Risk Management (ERM) and profitability on firm value, as well as the moderating effect of institutional ownership on the relationships between ERM, profitability, and firm value. The population for this study consists of companies within the banking subsector listed on the Indonesia Stock Exchange (IDX) over the period 2020-2022. A nonprobability sampling method was utilized, yielding a sample of 63 observations. Data were analyzed using Moderated Regression Analysis. The results indicate that ERM and profitability positively impact firm value. Additionally, institutional ownership strengthens the effects of ERM and profitability on firm value.","author":[{"dropping-particle":"","family":"Sari","given":"Ni Putu Hanna Windu","non-dropping-particle":"","parse-names":false,"suffix":""},{"dropping-particle":"","family":"Kresnandra","given":"Anak Agung Ngurah Agung","non-dropping-particle":"","parse-names":false,"suffix":""},{"dropping-particle":"","family":"Sujana","given":"I Ketut","non-dropping-particle":"","parse-names":false,"suffix":""}],"container-title":"E-Jurnal Akuntansi","id":"ITEM-2","issue":"7","issued":{"date-parts":[["2025"]]},"page":"1949-1960","title":"Institutional Ownership as a Moderator in the Relationship Between Enterprise Risk Management, Profitability, and Firm Value","type":"article-journal","volume":"35"},"uris":["http://www.mendeley.com/documents/?uuid=b4390324-3dbb-4ce3-a63c-409caf369db5"]}],"mendeley":{"formattedCitation":"(Hanafiah &amp; Rahmi, 2025; Sari et al., 2025)","plainTextFormattedCitation":"(Hanafiah &amp; Rahmi, 2025; Sari et al., 2025)","previouslyFormattedCitation":"(Hanafiah &amp; Rahmi, 2025; Sari et al., 2025)"},"properties":{"noteIndex":0},"schema":"https://github.com/citation-style-language/schema/raw/master/csl-citation.json"}</w:instrText>
      </w:r>
      <w:r w:rsidR="006B0292" w:rsidRPr="006B0292">
        <w:rPr>
          <w:lang w:val="en-ID"/>
        </w:rPr>
        <w:fldChar w:fldCharType="separate"/>
      </w:r>
      <w:r w:rsidR="006B0292" w:rsidRPr="006B0292">
        <w:rPr>
          <w:noProof/>
          <w:lang w:val="en-ID"/>
        </w:rPr>
        <w:t>(Hanafiah &amp; Rahmi, 2025; Sari et al., 2025)</w:t>
      </w:r>
      <w:r w:rsidR="006B0292" w:rsidRPr="006B0292">
        <w:rPr>
          <w:lang w:val="en-US"/>
        </w:rPr>
        <w:fldChar w:fldCharType="end"/>
      </w:r>
      <w:r w:rsidR="006B0292" w:rsidRPr="006B0292">
        <w:rPr>
          <w:lang w:val="en-ID"/>
        </w:rPr>
        <w:t>.</w:t>
      </w:r>
    </w:p>
    <w:p w14:paraId="4332F396" w14:textId="2E04B4C0" w:rsidR="006B0292" w:rsidRPr="006B0292" w:rsidRDefault="00581DBD" w:rsidP="00581DBD">
      <w:pPr>
        <w:rPr>
          <w:rFonts w:cstheme="majorBidi"/>
          <w:b/>
          <w:bCs/>
          <w:lang w:val="id-ID"/>
        </w:rPr>
      </w:pPr>
      <w:r>
        <w:rPr>
          <w:lang w:val="en-ID"/>
        </w:rPr>
        <w:tab/>
      </w:r>
      <w:r w:rsidR="004E49D0">
        <w:rPr>
          <w:rFonts w:cs="Times New Roman"/>
          <w:iCs/>
          <w:szCs w:val="24"/>
          <w:lang w:val="en-ID"/>
        </w:rPr>
        <w:t>P</w:t>
      </w:r>
      <w:r w:rsidR="006B0292" w:rsidRPr="006B0292">
        <w:rPr>
          <w:rFonts w:cs="Times New Roman"/>
          <w:iCs/>
          <w:szCs w:val="24"/>
          <w:lang w:val="en-ID"/>
        </w:rPr>
        <w:t xml:space="preserve">engukuran kepemilikan institusional dihitung dengan membandingkan jumlah saham yang dimiliki oleh investor institusional dengan total saham yang beredar, dan dinyatakan dalam satuan persentase (%). Semakin tinggi persentase kepemilikan institusional, semakin besar pula pengawasan yang dapat dilakukan terhadap kebijakan manajemen perusahaan </w:t>
      </w:r>
      <w:r w:rsidR="006B0292" w:rsidRPr="006B0292">
        <w:rPr>
          <w:rFonts w:cs="Times New Roman"/>
          <w:iCs/>
          <w:szCs w:val="24"/>
          <w:lang w:val="en-ID"/>
        </w:rPr>
        <w:fldChar w:fldCharType="begin" w:fldLock="1"/>
      </w:r>
      <w:r w:rsidR="006B0292" w:rsidRPr="006B0292">
        <w:rPr>
          <w:rFonts w:cs="Times New Roman"/>
          <w:iCs/>
          <w:szCs w:val="24"/>
          <w:lang w:val="en-ID"/>
        </w:rPr>
        <w:instrText>ADDIN CSL_CITATION {"citationItems":[{"id":"ITEM-1","itemData":{"author":[{"dropping-particle":"","family":"Hanafiah","given":"Rianti","non-dropping-particle":"","parse-names":false,"suffix":""},{"dropping-particle":"","family":"Rahmi","given":"Elvi","non-dropping-particle":"","parse-names":false,"suffix":""}],"id":"ITEM-1","issue":"2","issued":{"date-parts":[["2025"]]},"page":"748-762","title":"Kepemilikan Manajerial, Kepemilikan Institusional dan Proporsi Dewan Komisaris Independen terhadap Financial Distress","type":"article-journal","volume":"9"},"uris":["http://www.mendeley.com/documents/?uuid=866fc771-3205-4539-b7b9-e9fc9d1d777e"]}],"mendeley":{"formattedCitation":"(Hanafiah &amp; Rahmi, 2025)","plainTextFormattedCitation":"(Hanafiah &amp; Rahmi, 2025)","previouslyFormattedCitation":"(Hanafiah &amp; Rahmi, 2025)"},"properties":{"noteIndex":0},"schema":"https://github.com/citation-style-language/schema/raw/master/csl-citation.json"}</w:instrText>
      </w:r>
      <w:r w:rsidR="006B0292" w:rsidRPr="006B0292">
        <w:rPr>
          <w:rFonts w:cs="Times New Roman"/>
          <w:iCs/>
          <w:szCs w:val="24"/>
          <w:lang w:val="en-ID"/>
        </w:rPr>
        <w:fldChar w:fldCharType="separate"/>
      </w:r>
      <w:r w:rsidR="006B0292" w:rsidRPr="006B0292">
        <w:rPr>
          <w:rFonts w:cs="Times New Roman"/>
          <w:iCs/>
          <w:noProof/>
          <w:szCs w:val="24"/>
          <w:lang w:val="en-ID"/>
        </w:rPr>
        <w:t>(Hanafiah &amp; Rahmi, 2025)</w:t>
      </w:r>
      <w:r w:rsidR="006B0292" w:rsidRPr="006B0292">
        <w:rPr>
          <w:rFonts w:cs="Times New Roman"/>
          <w:szCs w:val="24"/>
          <w:lang w:val="en-US"/>
        </w:rPr>
        <w:fldChar w:fldCharType="end"/>
      </w:r>
      <w:r w:rsidR="006B0292" w:rsidRPr="006B0292">
        <w:rPr>
          <w:rFonts w:cs="Times New Roman"/>
          <w:iCs/>
          <w:szCs w:val="24"/>
          <w:lang w:val="en-ID"/>
        </w:rPr>
        <w:t>. Informasi mengenai kepemilikan institusional ini umumnya dapat diperoleh dari laporan tahunan (</w:t>
      </w:r>
      <w:r w:rsidR="006B0292" w:rsidRPr="006B0292">
        <w:rPr>
          <w:rFonts w:cs="Times New Roman"/>
          <w:i/>
          <w:szCs w:val="24"/>
          <w:lang w:val="en-ID"/>
        </w:rPr>
        <w:t>annual report</w:t>
      </w:r>
      <w:r w:rsidR="006B0292" w:rsidRPr="006B0292">
        <w:rPr>
          <w:rFonts w:cs="Times New Roman"/>
          <w:iCs/>
          <w:szCs w:val="24"/>
          <w:lang w:val="en-ID"/>
        </w:rPr>
        <w:t>) yang dipublikasikan oleh perusahaan.</w:t>
      </w:r>
    </w:p>
    <w:p w14:paraId="14B79E08" w14:textId="77777777" w:rsidR="006B0292" w:rsidRPr="006B0292" w:rsidRDefault="006B0292" w:rsidP="006B0292">
      <w:pPr>
        <w:pStyle w:val="BodyText"/>
        <w:spacing w:before="179" w:line="417" w:lineRule="auto"/>
        <w:ind w:left="567"/>
        <w:rPr>
          <w:rFonts w:cs="Times New Roman"/>
          <w:b/>
          <w:bCs/>
          <w:iCs/>
          <w:lang w:val="en-ID"/>
        </w:rPr>
      </w:pPr>
    </w:p>
    <w:p w14:paraId="4AD2EF7F" w14:textId="77777777" w:rsidR="00581DBD" w:rsidRDefault="00581DBD" w:rsidP="00581DBD">
      <w:pPr>
        <w:pStyle w:val="Heading3"/>
        <w:rPr>
          <w:b w:val="0"/>
          <w:bCs/>
          <w:color w:val="auto"/>
          <w:lang w:val="en-US"/>
        </w:rPr>
      </w:pPr>
      <w:bookmarkStart w:id="9" w:name="_Toc235560214"/>
      <w:r w:rsidRPr="00581DBD">
        <w:rPr>
          <w:bCs/>
          <w:color w:val="auto"/>
          <w:lang w:val="en-US"/>
        </w:rPr>
        <w:lastRenderedPageBreak/>
        <w:t>2.1.5</w:t>
      </w:r>
      <w:r w:rsidRPr="00581DBD">
        <w:rPr>
          <w:bCs/>
          <w:color w:val="auto"/>
          <w:lang w:val="en-US"/>
        </w:rPr>
        <w:tab/>
      </w:r>
      <w:r w:rsidR="006B0292" w:rsidRPr="00581DBD">
        <w:rPr>
          <w:bCs/>
          <w:color w:val="auto"/>
          <w:lang w:val="id-ID"/>
        </w:rPr>
        <w:t xml:space="preserve">Kinerja </w:t>
      </w:r>
      <w:r w:rsidR="006B0292" w:rsidRPr="00581DBD">
        <w:rPr>
          <w:bCs/>
          <w:color w:val="auto"/>
          <w:lang w:val="en-US"/>
        </w:rPr>
        <w:t>Perusahaan</w:t>
      </w:r>
      <w:bookmarkEnd w:id="9"/>
    </w:p>
    <w:p w14:paraId="3EE5A2B9" w14:textId="77777777" w:rsidR="00581DBD" w:rsidRDefault="00581DBD" w:rsidP="00581DBD">
      <w:pPr>
        <w:rPr>
          <w:lang w:val="en-ID"/>
        </w:rPr>
      </w:pPr>
      <w:r>
        <w:rPr>
          <w:b/>
          <w:bCs/>
          <w:lang w:val="en-US"/>
        </w:rPr>
        <w:tab/>
      </w:r>
      <w:r w:rsidR="006B0292" w:rsidRPr="006B0292">
        <w:rPr>
          <w:lang w:val="en-ID"/>
        </w:rPr>
        <w:t xml:space="preserve">Kinerja Perusahaan merupakan gambaran kondisi suatu perusahaan yang dapat dilihat dari penilaian pasar terhadap perusahaan tersebut, salah satunya melalui harga sahamnya. Dalam penelitian ini, kinerja perusahaan diukur menggunakan Tobin's Q, yaitu rasio yang membandingkan nilai pasar perusahaan dengan total aset yang dimilikinya </w:t>
      </w:r>
      <w:r w:rsidR="006B0292" w:rsidRPr="006B0292">
        <w:rPr>
          <w:lang w:val="en-ID"/>
        </w:rPr>
        <w:fldChar w:fldCharType="begin" w:fldLock="1"/>
      </w:r>
      <w:r w:rsidR="006B0292" w:rsidRPr="006B0292">
        <w:rPr>
          <w:lang w:val="en-ID"/>
        </w:rPr>
        <w:instrText>ADDIN CSL_CITATION {"citationItems":[{"id":"ITEM-1","itemData":{"DOI":"10.24843/eja.2025.v35.i07.p05","abstract":"Firm value is an indicator of a company's condition, reflected through its share price. This research aims to provide empirical evidence on the influence of Enterprise Risk Management (ERM) and profitability on firm value, as well as the moderating effect of institutional ownership on the relationships between ERM, profitability, and firm value. The population for this study consists of companies within the banking subsector listed on the Indonesia Stock Exchange (IDX) over the period 2020-2022. A nonprobability sampling method was utilized, yielding a sample of 63 observations. Data were analyzed using Moderated Regression Analysis. The results indicate that ERM and profitability positively impact firm value. Additionally, institutional ownership strengthens the effects of ERM and profitability on firm value.","author":[{"dropping-particle":"","family":"Sari","given":"Ni Putu Hanna Windu","non-dropping-particle":"","parse-names":false,"suffix":""},{"dropping-particle":"","family":"Kresnandra","given":"Anak Agung Ngurah Agung","non-dropping-particle":"","parse-names":false,"suffix":""},{"dropping-particle":"","family":"Sujana","given":"I Ketut","non-dropping-particle":"","parse-names":false,"suffix":""}],"container-title":"E-Jurnal Akuntansi","id":"ITEM-1","issue":"7","issued":{"date-parts":[["2025"]]},"page":"1949-1960","title":"Institutional Ownership as a Moderator in the Relationship Between Enterprise Risk Management, Profitability, and Firm Value","type":"article-journal","volume":"35"},"uris":["http://www.mendeley.com/documents/?uuid=b4390324-3dbb-4ce3-a63c-409caf369db5"]}],"mendeley":{"formattedCitation":"(Sari et al., 2025)","plainTextFormattedCitation":"(Sari et al., 2025)","previouslyFormattedCitation":"(Sari et al., 2025)"},"properties":{"noteIndex":0},"schema":"https://github.com/citation-style-language/schema/raw/master/csl-citation.json"}</w:instrText>
      </w:r>
      <w:r w:rsidR="006B0292" w:rsidRPr="006B0292">
        <w:rPr>
          <w:lang w:val="en-ID"/>
        </w:rPr>
        <w:fldChar w:fldCharType="separate"/>
      </w:r>
      <w:r w:rsidR="006B0292" w:rsidRPr="006B0292">
        <w:rPr>
          <w:noProof/>
          <w:lang w:val="en-ID"/>
        </w:rPr>
        <w:t>(Sari et al., 2025)</w:t>
      </w:r>
      <w:r w:rsidR="006B0292" w:rsidRPr="006B0292">
        <w:rPr>
          <w:lang w:val="en-US"/>
        </w:rPr>
        <w:fldChar w:fldCharType="end"/>
      </w:r>
      <w:r w:rsidR="006B0292" w:rsidRPr="006B0292">
        <w:rPr>
          <w:lang w:val="en-ID"/>
        </w:rPr>
        <w:t>. Penggunaan Tobin's Q dipilih karena rasio ini tidak hanya menggambarkan hasil kinerja keuangan yang sudah terjadi, tetapi juga mencerminkan bagaimana investor menilai prospek dan potensi pertumbuhan perusahaan di masa depan.</w:t>
      </w:r>
    </w:p>
    <w:p w14:paraId="28E7F390" w14:textId="0AA076DE" w:rsidR="006B0292" w:rsidRPr="006B0292" w:rsidRDefault="00581DBD" w:rsidP="00581DBD">
      <w:pPr>
        <w:rPr>
          <w:rFonts w:cstheme="majorBidi"/>
          <w:b/>
          <w:bCs/>
          <w:lang w:val="id-ID"/>
        </w:rPr>
      </w:pPr>
      <w:r>
        <w:rPr>
          <w:lang w:val="en-ID"/>
        </w:rPr>
        <w:tab/>
      </w:r>
      <w:r w:rsidR="006B0292" w:rsidRPr="006B0292">
        <w:rPr>
          <w:rFonts w:cs="Times New Roman"/>
          <w:iCs/>
          <w:szCs w:val="24"/>
          <w:lang w:val="en-ID"/>
        </w:rPr>
        <w:t xml:space="preserve">Semakin tinggi nilai Tobin's Q yang dimiliki suatu perusahaan, maka semakin tinggi pula kepercayaan investor terhadap kemampuan perusahaan dalam mengelola asetnya dan menciptakan nilai tambah bagi pemegang saham </w:t>
      </w:r>
      <w:r w:rsidR="006B0292" w:rsidRPr="006B0292">
        <w:rPr>
          <w:rFonts w:cs="Times New Roman"/>
          <w:iCs/>
          <w:szCs w:val="24"/>
          <w:lang w:val="en-ID"/>
        </w:rPr>
        <w:fldChar w:fldCharType="begin" w:fldLock="1"/>
      </w:r>
      <w:r w:rsidR="006B0292" w:rsidRPr="006B0292">
        <w:rPr>
          <w:rFonts w:cs="Times New Roman"/>
          <w:iCs/>
          <w:szCs w:val="24"/>
          <w:lang w:val="en-ID"/>
        </w:rPr>
        <w:instrText>ADDIN CSL_CITATION {"citationItems":[{"id":"ITEM-1","itemData":{"DOI":"10.24843/eja.2025.v35.i07.p05","abstract":"Firm value is an indicator of a company's condition, reflected through its share price. This research aims to provide empirical evidence on the influence of Enterprise Risk Management (ERM) and profitability on firm value, as well as the moderating effect of institutional ownership on the relationships between ERM, profitability, and firm value. The population for this study consists of companies within the banking subsector listed on the Indonesia Stock Exchange (IDX) over the period 2020-2022. A nonprobability sampling method was utilized, yielding a sample of 63 observations. Data were analyzed using Moderated Regression Analysis. The results indicate that ERM and profitability positively impact firm value. Additionally, institutional ownership strengthens the effects of ERM and profitability on firm value.","author":[{"dropping-particle":"","family":"Sari","given":"Ni Putu Hanna Windu","non-dropping-particle":"","parse-names":false,"suffix":""},{"dropping-particle":"","family":"Kresnandra","given":"Anak Agung Ngurah Agung","non-dropping-particle":"","parse-names":false,"suffix":""},{"dropping-particle":"","family":"Sujana","given":"I Ketut","non-dropping-particle":"","parse-names":false,"suffix":""}],"container-title":"E-Jurnal Akuntansi","id":"ITEM-1","issue":"7","issued":{"date-parts":[["2025"]]},"page":"1949-1960","title":"Institutional Ownership as a Moderator in the Relationship Between Enterprise Risk Management, Profitability, and Firm Value","type":"article-journal","volume":"35"},"uris":["http://www.mendeley.com/documents/?uuid=b4390324-3dbb-4ce3-a63c-409caf369db5"]}],"mendeley":{"formattedCitation":"(Sari et al., 2025)","plainTextFormattedCitation":"(Sari et al., 2025)","previouslyFormattedCitation":"(Sari et al., 2025)"},"properties":{"noteIndex":0},"schema":"https://github.com/citation-style-language/schema/raw/master/csl-citation.json"}</w:instrText>
      </w:r>
      <w:r w:rsidR="006B0292" w:rsidRPr="006B0292">
        <w:rPr>
          <w:rFonts w:cs="Times New Roman"/>
          <w:iCs/>
          <w:szCs w:val="24"/>
          <w:lang w:val="en-ID"/>
        </w:rPr>
        <w:fldChar w:fldCharType="separate"/>
      </w:r>
      <w:r w:rsidR="006B0292" w:rsidRPr="006B0292">
        <w:rPr>
          <w:rFonts w:cs="Times New Roman"/>
          <w:iCs/>
          <w:noProof/>
          <w:szCs w:val="24"/>
          <w:lang w:val="en-ID"/>
        </w:rPr>
        <w:t>(Sari et al., 2025)</w:t>
      </w:r>
      <w:r w:rsidR="006B0292" w:rsidRPr="006B0292">
        <w:rPr>
          <w:rFonts w:cs="Times New Roman"/>
          <w:szCs w:val="24"/>
          <w:lang w:val="en-US"/>
        </w:rPr>
        <w:fldChar w:fldCharType="end"/>
      </w:r>
      <w:r w:rsidR="006B0292" w:rsidRPr="006B0292">
        <w:rPr>
          <w:rFonts w:cs="Times New Roman"/>
          <w:iCs/>
          <w:szCs w:val="24"/>
          <w:lang w:val="en-ID"/>
        </w:rPr>
        <w:t xml:space="preserve">. Sebaliknya, nilai Tobin's Q yang rendah menunjukkan bahwa pasar menilai perusahaan kurang mampu memanfaatkan asetnya secara optimal. Tobin's Q dipandang lebih menggambarkan kondisi perusahaan secara menyeluruh dibandingkan rasio keuangan tradisional, karena turut memperhitungkan persepsi pasar, bukan hanya catatan akuntansi historis perusahaan </w:t>
      </w:r>
      <w:r w:rsidR="006B0292" w:rsidRPr="006B0292">
        <w:rPr>
          <w:rFonts w:cs="Times New Roman"/>
          <w:iCs/>
          <w:szCs w:val="24"/>
          <w:lang w:val="en-ID"/>
        </w:rPr>
        <w:fldChar w:fldCharType="begin" w:fldLock="1"/>
      </w:r>
      <w:r w:rsidR="006B0292" w:rsidRPr="006B0292">
        <w:rPr>
          <w:rFonts w:cs="Times New Roman"/>
          <w:iCs/>
          <w:szCs w:val="24"/>
          <w:lang w:val="en-ID"/>
        </w:rPr>
        <w:instrText>ADDIN CSL_CITATION {"citationItems":[{"id":"ITEM-1","itemData":{"author":[{"dropping-particle":"","family":"Hanafiah","given":"Rianti","non-dropping-particle":"","parse-names":false,"suffix":""},{"dropping-particle":"","family":"Rahmi","given":"Elvi","non-dropping-particle":"","parse-names":false,"suffix":""}],"id":"ITEM-1","issue":"2","issued":{"date-parts":[["2025"]]},"page":"748-762","title":"Kepemilikan Manajerial, Kepemilikan Institusional dan Proporsi Dewan Komisaris Independen terhadap Financial Distress","type":"article-journal","volume":"9"},"uris":["http://www.mendeley.com/documents/?uuid=866fc771-3205-4539-b7b9-e9fc9d1d777e"]}],"mendeley":{"formattedCitation":"(Hanafiah &amp; Rahmi, 2025)","plainTextFormattedCitation":"(Hanafiah &amp; Rahmi, 2025)","previouslyFormattedCitation":"(Hanafiah &amp; Rahmi, 2025)"},"properties":{"noteIndex":0},"schema":"https://github.com/citation-style-language/schema/raw/master/csl-citation.json"}</w:instrText>
      </w:r>
      <w:r w:rsidR="006B0292" w:rsidRPr="006B0292">
        <w:rPr>
          <w:rFonts w:cs="Times New Roman"/>
          <w:iCs/>
          <w:szCs w:val="24"/>
          <w:lang w:val="en-ID"/>
        </w:rPr>
        <w:fldChar w:fldCharType="separate"/>
      </w:r>
      <w:r w:rsidR="006B0292" w:rsidRPr="006B0292">
        <w:rPr>
          <w:rFonts w:cs="Times New Roman"/>
          <w:iCs/>
          <w:noProof/>
          <w:szCs w:val="24"/>
          <w:lang w:val="en-ID"/>
        </w:rPr>
        <w:t>(Hanafiah &amp; Rahmi, 2025)</w:t>
      </w:r>
      <w:r w:rsidR="006B0292" w:rsidRPr="006B0292">
        <w:rPr>
          <w:rFonts w:cs="Times New Roman"/>
          <w:szCs w:val="24"/>
          <w:lang w:val="en-US"/>
        </w:rPr>
        <w:fldChar w:fldCharType="end"/>
      </w:r>
      <w:r w:rsidR="006B0292" w:rsidRPr="006B0292">
        <w:rPr>
          <w:rFonts w:cs="Times New Roman"/>
          <w:iCs/>
          <w:szCs w:val="24"/>
          <w:lang w:val="en-ID"/>
        </w:rPr>
        <w:t xml:space="preserve">. Dakhli </w:t>
      </w:r>
      <w:r w:rsidR="006B0292" w:rsidRPr="006B0292">
        <w:rPr>
          <w:rFonts w:cs="Times New Roman"/>
          <w:iCs/>
          <w:szCs w:val="24"/>
          <w:lang w:val="en-ID"/>
        </w:rPr>
        <w:fldChar w:fldCharType="begin" w:fldLock="1"/>
      </w:r>
      <w:r w:rsidR="006B0292" w:rsidRPr="006B0292">
        <w:rPr>
          <w:rFonts w:cs="Times New Roman"/>
          <w:iCs/>
          <w:szCs w:val="24"/>
          <w:lang w:val="en-ID"/>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rsidR="006B0292" w:rsidRPr="006B0292">
        <w:rPr>
          <w:rFonts w:cs="Times New Roman"/>
          <w:iCs/>
          <w:szCs w:val="24"/>
          <w:lang w:val="en-ID"/>
        </w:rPr>
        <w:fldChar w:fldCharType="separate"/>
      </w:r>
      <w:r w:rsidR="006B0292" w:rsidRPr="006B0292">
        <w:rPr>
          <w:rFonts w:cs="Times New Roman"/>
          <w:iCs/>
          <w:noProof/>
          <w:szCs w:val="24"/>
          <w:lang w:val="en-ID"/>
        </w:rPr>
        <w:t>(2021)</w:t>
      </w:r>
      <w:r w:rsidR="006B0292" w:rsidRPr="006B0292">
        <w:rPr>
          <w:rFonts w:cs="Times New Roman"/>
          <w:szCs w:val="24"/>
          <w:lang w:val="en-US"/>
        </w:rPr>
        <w:fldChar w:fldCharType="end"/>
      </w:r>
      <w:r w:rsidR="006B0292" w:rsidRPr="006B0292">
        <w:rPr>
          <w:rFonts w:cs="Times New Roman"/>
          <w:iCs/>
          <w:szCs w:val="24"/>
          <w:lang w:val="en-ID"/>
        </w:rPr>
        <w:t xml:space="preserve"> menegaskan bahwa Tobin's Q merupakan proksi yang tepat untuk mengukur kinerja perusahaan karena mempertimbangkan nilai pasar ekuitas ditambah nilai buku utang dibandingkan dengan nilai buku total aset, sehingga dapat menangkap sejauh mana pasar menghargai keseluruhan sumber daya yang dikelola perusahaan.</w:t>
      </w:r>
    </w:p>
    <w:p w14:paraId="65779B60" w14:textId="77777777" w:rsidR="006B0292" w:rsidRPr="006B0292" w:rsidRDefault="006B0292" w:rsidP="00BB16BE">
      <w:pPr>
        <w:pStyle w:val="BodyText"/>
        <w:spacing w:before="179" w:line="417" w:lineRule="auto"/>
        <w:ind w:left="0"/>
        <w:rPr>
          <w:rFonts w:cs="Times New Roman"/>
          <w:iCs/>
          <w:lang w:val="en-ID"/>
        </w:rPr>
      </w:pPr>
    </w:p>
    <w:p w14:paraId="3997AF4C" w14:textId="77777777" w:rsidR="00581DBD" w:rsidRDefault="00581DBD" w:rsidP="00581DBD">
      <w:pPr>
        <w:pStyle w:val="Heading3"/>
        <w:rPr>
          <w:b w:val="0"/>
          <w:bCs/>
          <w:color w:val="auto"/>
          <w:lang w:val="en-US"/>
        </w:rPr>
      </w:pPr>
      <w:bookmarkStart w:id="10" w:name="_Toc235560215"/>
      <w:r w:rsidRPr="00581DBD">
        <w:rPr>
          <w:bCs/>
          <w:color w:val="auto"/>
          <w:lang w:val="en-US"/>
        </w:rPr>
        <w:lastRenderedPageBreak/>
        <w:t>2.1.6</w:t>
      </w:r>
      <w:r w:rsidRPr="00581DBD">
        <w:rPr>
          <w:bCs/>
          <w:color w:val="auto"/>
          <w:lang w:val="en-US"/>
        </w:rPr>
        <w:tab/>
      </w:r>
      <w:r w:rsidR="006B0292" w:rsidRPr="00581DBD">
        <w:rPr>
          <w:bCs/>
          <w:color w:val="auto"/>
          <w:lang w:val="en-US"/>
        </w:rPr>
        <w:t>Variabel Kontrol</w:t>
      </w:r>
      <w:bookmarkEnd w:id="10"/>
    </w:p>
    <w:p w14:paraId="37650871" w14:textId="77777777" w:rsidR="00581DBD" w:rsidRDefault="00581DBD" w:rsidP="00581DBD">
      <w:pPr>
        <w:pStyle w:val="Heading4"/>
        <w:rPr>
          <w:rFonts w:cs="Times New Roman"/>
          <w:b w:val="0"/>
          <w:bCs/>
          <w:i/>
          <w:iCs w:val="0"/>
          <w:lang w:val="en-US"/>
        </w:rPr>
      </w:pPr>
      <w:r w:rsidRPr="00581DBD">
        <w:rPr>
          <w:rFonts w:cs="Times New Roman"/>
          <w:bCs/>
          <w:iCs w:val="0"/>
          <w:lang w:val="en-US"/>
        </w:rPr>
        <w:t>2.1.6.1</w:t>
      </w:r>
      <w:r w:rsidRPr="00581DBD">
        <w:rPr>
          <w:rFonts w:cs="Times New Roman"/>
          <w:bCs/>
          <w:iCs w:val="0"/>
          <w:lang w:val="en-US"/>
        </w:rPr>
        <w:tab/>
      </w:r>
      <w:r>
        <w:rPr>
          <w:rFonts w:cs="Times New Roman"/>
          <w:bCs/>
          <w:iCs w:val="0"/>
          <w:lang w:val="en-US"/>
        </w:rPr>
        <w:tab/>
      </w:r>
      <w:r w:rsidR="006B0292" w:rsidRPr="00581DBD">
        <w:rPr>
          <w:rFonts w:cs="Times New Roman"/>
          <w:bCs/>
          <w:iCs w:val="0"/>
          <w:lang w:val="en-US"/>
        </w:rPr>
        <w:t>Leverage Perusahaan</w:t>
      </w:r>
      <w:bookmarkStart w:id="11" w:name="_Hlk232758051"/>
    </w:p>
    <w:p w14:paraId="0BA3779D" w14:textId="1E7297B1" w:rsidR="006B0292" w:rsidRPr="006B0292" w:rsidRDefault="00581DBD" w:rsidP="00E56B75">
      <w:pPr>
        <w:rPr>
          <w:b/>
          <w:bCs/>
          <w:lang w:val="id-ID"/>
        </w:rPr>
      </w:pPr>
      <w:r>
        <w:rPr>
          <w:lang w:val="en-ID"/>
        </w:rPr>
        <w:tab/>
      </w:r>
      <w:r w:rsidR="006B0292" w:rsidRPr="006B0292">
        <w:rPr>
          <w:lang w:val="en-ID"/>
        </w:rPr>
        <w:t xml:space="preserve">Leverage perusahaan merupakan indikator yang menggambarkan sejauh mana aset perusahaan dibiayai oleh utang dibandingkan modal sendiri, yang dalam penelitian ini diukur menggunakan </w:t>
      </w:r>
      <w:r w:rsidR="006B0292" w:rsidRPr="006B0292">
        <w:rPr>
          <w:i/>
          <w:iCs/>
          <w:lang w:val="en-ID"/>
        </w:rPr>
        <w:t>Debt to Assets Ratio</w:t>
      </w:r>
      <w:r w:rsidR="006B0292" w:rsidRPr="006B0292">
        <w:rPr>
          <w:lang w:val="en-ID"/>
        </w:rPr>
        <w:t xml:space="preserve"> (DAR) </w:t>
      </w:r>
      <w:r w:rsidR="006B0292" w:rsidRPr="006B0292">
        <w:rPr>
          <w:lang w:val="en-ID"/>
        </w:rPr>
        <w:fldChar w:fldCharType="begin" w:fldLock="1"/>
      </w:r>
      <w:r w:rsidR="006B0292" w:rsidRPr="006B0292">
        <w:rPr>
          <w:lang w:val="en-ID"/>
        </w:rPr>
        <w:instrText>ADDIN CSL_CITATION {"citationItems":[{"id":"ITEM-1","itemData":{"DOI":"10.32535/ijabim.v10i2.3969","ISSN":"26147432","abstract":"Sustainability’s rising importance in banking has prompted greater transparency through sustainability reports. OJK Regulation No. 51/POJK.03/2017 mandates this reporting to strengthen accountability and promote responsible business conduct. This study aims to examine the effect of sustainability report disclosure, leverage, and company size on the financial performance of banking companies listed on the Indonesia Stock Exchange (IDX), specifically measured by Return on Assets (ROA), during the 2021-2023 period. A quantitative approach was used, employing secondary data obtained from 19 banks over a three-year period (2021-2023), resulting in 61 sample data points. The results indicate that sustainability report disclosure has a positive and significant effect on financial performance, with a coefficient of 0.365 and a significance value of 0.000. Company size also shows a significant positive effect (coefficient of 0.071, p-value of 0.000). However, leverage has no significant effect on financial performance. These findings suggest that transparency in sustainability reporting and firm scale play key roles in enhancing bank profitability, supporting stakeholder-oriented governance in the banking sector. This study reinforces stakeholder theory, demonstrating the value of transparent sustainability practices in enhancing performance.","author":[{"dropping-particle":"","family":"Paramita","given":"Monica Diah","non-dropping-particle":"","parse-names":false,"suffix":""},{"dropping-particle":"","family":"Prasetio","given":"Januar Eko","non-dropping-particle":"","parse-names":false,"suffix":""}],"container-title":"International Journal of Applied Business and International Management","id":"ITEM-1","issue":"2","issued":{"date-parts":[["2025"]]},"page":"246-260","title":"Investigating the Effect of Disclosure of Sustainability Reports, Leverage, and Company Size on Financial Performance in the Banking Sector","type":"article-journal","volume":"10"},"uris":["http://www.mendeley.com/documents/?uuid=8853bd11-ea5e-4764-afe4-68ff76545ec6"]}],"mendeley":{"formattedCitation":"(Paramita &amp; Prasetio, 2025)","plainTextFormattedCitation":"(Paramita &amp; Prasetio, 2025)","previouslyFormattedCitation":"(Paramita &amp; Prasetio, 2025)"},"properties":{"noteIndex":0},"schema":"https://github.com/citation-style-language/schema/raw/master/csl-citation.json"}</w:instrText>
      </w:r>
      <w:r w:rsidR="006B0292" w:rsidRPr="006B0292">
        <w:rPr>
          <w:lang w:val="en-ID"/>
        </w:rPr>
        <w:fldChar w:fldCharType="separate"/>
      </w:r>
      <w:r w:rsidR="006B0292" w:rsidRPr="006B0292">
        <w:rPr>
          <w:noProof/>
          <w:lang w:val="en-ID"/>
        </w:rPr>
        <w:t>(Paramita &amp; Prasetio, 2025)</w:t>
      </w:r>
      <w:r w:rsidR="006B0292" w:rsidRPr="006B0292">
        <w:rPr>
          <w:lang w:val="en-US"/>
        </w:rPr>
        <w:fldChar w:fldCharType="end"/>
      </w:r>
      <w:r w:rsidR="006B0292" w:rsidRPr="006B0292">
        <w:rPr>
          <w:lang w:val="en-ID"/>
        </w:rPr>
        <w:t xml:space="preserve">. </w:t>
      </w:r>
      <w:r w:rsidR="00BB16BE" w:rsidRPr="00BB16BE">
        <w:t>Peningkatan nilai DAR mencerminkan semakin besarnya porsi aset yang dibiayai utang, sehingga ruang gerak manajemen dalam mengalokasikan sumber daya untuk kegiatan strategis seperti aktivitas CSR menjadi terbatas</w:t>
      </w:r>
      <w:r w:rsidR="006B0292" w:rsidRPr="006B0292">
        <w:rPr>
          <w:lang w:val="en-ID"/>
        </w:rPr>
        <w:t xml:space="preserve">. Dalam perspektif </w:t>
      </w:r>
      <w:r w:rsidR="006B0292" w:rsidRPr="006B0292">
        <w:rPr>
          <w:i/>
          <w:iCs/>
          <w:lang w:val="en-ID"/>
        </w:rPr>
        <w:t>agency theory</w:t>
      </w:r>
      <w:r w:rsidR="006B0292" w:rsidRPr="006B0292">
        <w:rPr>
          <w:lang w:val="en-ID"/>
        </w:rPr>
        <w:t xml:space="preserve">, tingginya beban utang dapat memperburuk konflik kepentingan antara manajemen dan kreditur, yang pada akhirnya mendorong perusahaan untuk membatasi investasi pada kegiatan di luar pelunasan kewajiban, termasuk pengungkapan CSR </w:t>
      </w:r>
      <w:r w:rsidR="006B0292" w:rsidRPr="006B0292">
        <w:rPr>
          <w:lang w:val="en-ID"/>
        </w:rPr>
        <w:fldChar w:fldCharType="begin" w:fldLock="1"/>
      </w:r>
      <w:r w:rsidR="006B0292" w:rsidRPr="006B0292">
        <w:rPr>
          <w:lang w:val="en-ID"/>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performance","type":"article-journal","volume":"16"},"uris":["http://www.mendeley.com/documents/?uuid=4a09875d-05aa-4f50-a82b-9cff58ec886a"]}],"mendeley":{"formattedCitation":"(Dakhli, 2021)","plainTextFormattedCitation":"(Dakhli, 2021)","previouslyFormattedCitation":"(Dakhli, 2021)"},"properties":{"noteIndex":0},"schema":"https://github.com/citation-style-language/schema/raw/master/csl-citation.json"}</w:instrText>
      </w:r>
      <w:r w:rsidR="006B0292" w:rsidRPr="006B0292">
        <w:rPr>
          <w:lang w:val="en-ID"/>
        </w:rPr>
        <w:fldChar w:fldCharType="separate"/>
      </w:r>
      <w:r w:rsidR="006B0292" w:rsidRPr="006B0292">
        <w:rPr>
          <w:noProof/>
          <w:lang w:val="en-ID"/>
        </w:rPr>
        <w:t>(Dakhli, 2021)</w:t>
      </w:r>
      <w:r w:rsidR="006B0292" w:rsidRPr="006B0292">
        <w:rPr>
          <w:lang w:val="en-US"/>
        </w:rPr>
        <w:fldChar w:fldCharType="end"/>
      </w:r>
      <w:r w:rsidR="006B0292" w:rsidRPr="006B0292">
        <w:rPr>
          <w:lang w:val="en-ID"/>
        </w:rPr>
        <w:t xml:space="preserve">. </w:t>
      </w:r>
      <w:r w:rsidR="00BB16BE">
        <w:rPr>
          <w:i/>
          <w:iCs/>
          <w:lang w:val="en-ID"/>
        </w:rPr>
        <w:t>L</w:t>
      </w:r>
      <w:r w:rsidR="006B0292" w:rsidRPr="006B0292">
        <w:rPr>
          <w:i/>
          <w:iCs/>
          <w:lang w:val="en-ID"/>
        </w:rPr>
        <w:t>everage</w:t>
      </w:r>
      <w:r w:rsidR="006B0292" w:rsidRPr="006B0292">
        <w:rPr>
          <w:lang w:val="en-ID"/>
        </w:rPr>
        <w:t xml:space="preserve"> diposisikan sebagai variabel kontrol dalam penelitian ini guna mengurangi potensi bias dan meningkatkan akurasi estimasi hubungan antara struktur kepemilikan dan pengungkapan CSR.</w:t>
      </w:r>
    </w:p>
    <w:p w14:paraId="12A2661F" w14:textId="03FF188F" w:rsidR="00361802" w:rsidRDefault="00361802" w:rsidP="00E56B75">
      <w:pPr>
        <w:pStyle w:val="Heading4"/>
        <w:rPr>
          <w:rFonts w:cs="Times New Roman"/>
          <w:b w:val="0"/>
          <w:bCs/>
          <w:i/>
          <w:iCs w:val="0"/>
          <w:lang w:val="en-US"/>
        </w:rPr>
      </w:pPr>
      <w:r w:rsidRPr="00581DBD">
        <w:rPr>
          <w:rFonts w:cs="Times New Roman"/>
          <w:bCs/>
          <w:iCs w:val="0"/>
          <w:lang w:val="en-US"/>
        </w:rPr>
        <w:t>2.1.6.</w:t>
      </w:r>
      <w:r>
        <w:rPr>
          <w:rFonts w:cs="Times New Roman"/>
          <w:bCs/>
          <w:iCs w:val="0"/>
          <w:lang w:val="en-US"/>
        </w:rPr>
        <w:t>2</w:t>
      </w:r>
      <w:r w:rsidRPr="00581DBD">
        <w:rPr>
          <w:rFonts w:cs="Times New Roman"/>
          <w:bCs/>
          <w:iCs w:val="0"/>
          <w:lang w:val="en-US"/>
        </w:rPr>
        <w:tab/>
      </w:r>
      <w:r>
        <w:rPr>
          <w:rFonts w:cs="Times New Roman"/>
          <w:bCs/>
          <w:iCs w:val="0"/>
          <w:lang w:val="en-US"/>
        </w:rPr>
        <w:tab/>
        <w:t xml:space="preserve">Ukuran </w:t>
      </w:r>
      <w:r w:rsidRPr="00581DBD">
        <w:rPr>
          <w:rFonts w:cs="Times New Roman"/>
          <w:bCs/>
          <w:iCs w:val="0"/>
          <w:lang w:val="en-US"/>
        </w:rPr>
        <w:t>Perusahaan</w:t>
      </w:r>
      <w:bookmarkEnd w:id="11"/>
    </w:p>
    <w:p w14:paraId="35A891F4" w14:textId="1EF40A98" w:rsidR="00030D4C" w:rsidRPr="00030D4C" w:rsidRDefault="00361802" w:rsidP="005D0316">
      <w:pPr>
        <w:rPr>
          <w:lang w:val="en-ID"/>
        </w:rPr>
      </w:pPr>
      <w:r>
        <w:rPr>
          <w:b/>
          <w:bCs/>
          <w:lang w:val="en-ID"/>
        </w:rPr>
        <w:tab/>
      </w:r>
      <w:r w:rsidR="006B0292" w:rsidRPr="00EE3BC3">
        <w:rPr>
          <w:lang w:val="en-ID"/>
        </w:rPr>
        <w:t>Ukuran perusahaan (</w:t>
      </w:r>
      <w:r w:rsidR="006B0292" w:rsidRPr="00EE3BC3">
        <w:rPr>
          <w:i/>
          <w:iCs/>
          <w:lang w:val="en-ID"/>
        </w:rPr>
        <w:t>firm size</w:t>
      </w:r>
      <w:r w:rsidR="006B0292" w:rsidRPr="00EE3BC3">
        <w:rPr>
          <w:lang w:val="en-ID"/>
        </w:rPr>
        <w:t>)</w:t>
      </w:r>
      <w:r w:rsidR="006B0292" w:rsidRPr="006B0292">
        <w:rPr>
          <w:lang w:val="en-ID"/>
        </w:rPr>
        <w:t xml:space="preserve"> menunjukkan besar kecilnya suatu perusahaan yang diukur menggunakan logaritma natural total aset.</w:t>
      </w:r>
      <w:r w:rsidR="00BB16BE">
        <w:rPr>
          <w:lang w:val="en-ID"/>
        </w:rPr>
        <w:t xml:space="preserve"> </w:t>
      </w:r>
      <w:r w:rsidR="00BB16BE">
        <w:rPr>
          <w:i/>
          <w:iCs/>
          <w:lang w:val="en-ID"/>
        </w:rPr>
        <w:t>F</w:t>
      </w:r>
      <w:r w:rsidR="006B0292" w:rsidRPr="006B0292">
        <w:rPr>
          <w:i/>
          <w:iCs/>
          <w:lang w:val="en-ID"/>
        </w:rPr>
        <w:t>irm size</w:t>
      </w:r>
      <w:r w:rsidR="006B0292" w:rsidRPr="006B0292">
        <w:rPr>
          <w:lang w:val="en-ID"/>
        </w:rPr>
        <w:t xml:space="preserve"> digunakan sebagai variabel kontrol mengacu pada Dakhli </w:t>
      </w:r>
      <w:r w:rsidR="006B0292" w:rsidRPr="006B0292">
        <w:rPr>
          <w:lang w:val="en-ID"/>
        </w:rPr>
        <w:fldChar w:fldCharType="begin" w:fldLock="1"/>
      </w:r>
      <w:r w:rsidR="006B0292" w:rsidRPr="006B0292">
        <w:rPr>
          <w:lang w:val="en-ID"/>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rsidR="006B0292" w:rsidRPr="006B0292">
        <w:rPr>
          <w:lang w:val="en-ID"/>
        </w:rPr>
        <w:fldChar w:fldCharType="separate"/>
      </w:r>
      <w:r w:rsidR="006B0292" w:rsidRPr="006B0292">
        <w:rPr>
          <w:noProof/>
          <w:lang w:val="en-ID"/>
        </w:rPr>
        <w:t>(2021)</w:t>
      </w:r>
      <w:r w:rsidR="006B0292" w:rsidRPr="006B0292">
        <w:rPr>
          <w:lang w:val="en-US"/>
        </w:rPr>
        <w:fldChar w:fldCharType="end"/>
      </w:r>
      <w:r w:rsidR="006B0292" w:rsidRPr="006B0292">
        <w:rPr>
          <w:lang w:val="en-ID"/>
        </w:rPr>
        <w:t>. Penggunaan variabel ini bertujuan untuk mengendalikan perbedaan skala perusahaan yang dapat memengaruhi tingkat pengungkapan CSR, karena perusahaan yang lebih besar umumnya memiliki sumber daya yang lebih memadai dan mendapat perhatian yang lebih besar dari para pemangku kepentingan.</w:t>
      </w:r>
    </w:p>
    <w:p w14:paraId="51361810" w14:textId="40502CB7" w:rsidR="00361802" w:rsidRDefault="00361802" w:rsidP="00361802">
      <w:pPr>
        <w:pStyle w:val="Heading2"/>
        <w:rPr>
          <w:lang w:val="id-ID"/>
        </w:rPr>
      </w:pPr>
      <w:bookmarkStart w:id="12" w:name="_Toc235560216"/>
      <w:r w:rsidRPr="00E56B75">
        <w:rPr>
          <w:lang w:val="en-US"/>
        </w:rPr>
        <w:lastRenderedPageBreak/>
        <w:t>2.</w:t>
      </w:r>
      <w:r w:rsidR="00E56B75" w:rsidRPr="00E56B75">
        <w:rPr>
          <w:lang w:val="en-US"/>
        </w:rPr>
        <w:t>2</w:t>
      </w:r>
      <w:r w:rsidRPr="00E56B75">
        <w:rPr>
          <w:lang w:val="en-US"/>
        </w:rPr>
        <w:tab/>
      </w:r>
      <w:r w:rsidRPr="00E56B75">
        <w:rPr>
          <w:lang w:val="en-US"/>
        </w:rPr>
        <w:tab/>
      </w:r>
      <w:r w:rsidR="006B0292" w:rsidRPr="00E56B75">
        <w:rPr>
          <w:lang w:val="id-ID"/>
        </w:rPr>
        <w:t>Penelitian</w:t>
      </w:r>
      <w:r w:rsidR="006B0292" w:rsidRPr="006B0292">
        <w:rPr>
          <w:lang w:val="id-ID"/>
        </w:rPr>
        <w:t xml:space="preserve"> Terdahulu</w:t>
      </w:r>
      <w:bookmarkEnd w:id="12"/>
    </w:p>
    <w:p w14:paraId="0DE232D8" w14:textId="43789CCE" w:rsidR="00361802" w:rsidRDefault="006B0292" w:rsidP="005D0316">
      <w:pPr>
        <w:ind w:firstLine="426"/>
        <w:rPr>
          <w:lang w:val="en-ID"/>
        </w:rPr>
      </w:pPr>
      <w:r w:rsidRPr="006B0292">
        <w:rPr>
          <w:lang w:val="en-ID"/>
        </w:rPr>
        <w:t>Tinjauan Penelitian terdahulu yang digunakan dalam penelitian ini adalah sebagai berikut:</w:t>
      </w:r>
    </w:p>
    <w:p w14:paraId="052461AF" w14:textId="5FC417B1" w:rsidR="00030D4C" w:rsidRDefault="00030D4C" w:rsidP="005D0316">
      <w:pPr>
        <w:ind w:firstLine="426"/>
        <w:rPr>
          <w:lang w:val="en-ID"/>
        </w:rPr>
      </w:pPr>
    </w:p>
    <w:p w14:paraId="00CDC615" w14:textId="6497CC85" w:rsidR="00030D4C" w:rsidRDefault="00030D4C" w:rsidP="005D0316">
      <w:pPr>
        <w:ind w:firstLine="426"/>
        <w:rPr>
          <w:lang w:val="en-ID"/>
        </w:rPr>
      </w:pPr>
    </w:p>
    <w:p w14:paraId="2E8DF2EB" w14:textId="0FE3A854" w:rsidR="00030D4C" w:rsidRDefault="00030D4C" w:rsidP="005D0316">
      <w:pPr>
        <w:ind w:firstLine="426"/>
        <w:rPr>
          <w:lang w:val="en-ID"/>
        </w:rPr>
      </w:pPr>
    </w:p>
    <w:p w14:paraId="2BBD670D" w14:textId="727D4AF8" w:rsidR="00030D4C" w:rsidRDefault="00030D4C" w:rsidP="005D0316">
      <w:pPr>
        <w:ind w:firstLine="426"/>
        <w:rPr>
          <w:lang w:val="en-ID"/>
        </w:rPr>
      </w:pPr>
    </w:p>
    <w:p w14:paraId="4BB20600" w14:textId="77777777" w:rsidR="00030D4C" w:rsidRPr="006B0292" w:rsidRDefault="00030D4C" w:rsidP="005D0316">
      <w:pPr>
        <w:ind w:firstLine="426"/>
        <w:rPr>
          <w:lang w:val="en-ID"/>
        </w:rPr>
      </w:pPr>
    </w:p>
    <w:p w14:paraId="050EF70C" w14:textId="2828C902" w:rsidR="00361802" w:rsidRPr="00ED3408" w:rsidRDefault="00361802" w:rsidP="00361802">
      <w:pPr>
        <w:pStyle w:val="Caption"/>
        <w:keepNext/>
        <w:spacing w:after="0"/>
        <w:jc w:val="center"/>
        <w:rPr>
          <w:b/>
          <w:bCs/>
          <w:i w:val="0"/>
          <w:iCs w:val="0"/>
          <w:color w:val="auto"/>
          <w:sz w:val="24"/>
          <w:szCs w:val="24"/>
        </w:rPr>
      </w:pPr>
      <w:bookmarkStart w:id="13" w:name="_Toc235473155"/>
      <w:bookmarkStart w:id="14" w:name="_Toc235474007"/>
      <w:bookmarkStart w:id="15" w:name="_Toc235474260"/>
      <w:r w:rsidRPr="00ED3408">
        <w:rPr>
          <w:b/>
          <w:bCs/>
          <w:i w:val="0"/>
          <w:iCs w:val="0"/>
          <w:color w:val="auto"/>
          <w:sz w:val="24"/>
          <w:szCs w:val="24"/>
        </w:rPr>
        <w:t>Tabel</w:t>
      </w:r>
      <w:r w:rsidR="00ED3408" w:rsidRPr="00ED3408">
        <w:rPr>
          <w:b/>
          <w:bCs/>
          <w:i w:val="0"/>
          <w:iCs w:val="0"/>
          <w:color w:val="auto"/>
          <w:sz w:val="24"/>
          <w:szCs w:val="24"/>
          <w:lang w:val="en-US"/>
        </w:rPr>
        <w:t xml:space="preserve"> 2</w:t>
      </w:r>
      <w:r w:rsidRPr="00ED3408">
        <w:rPr>
          <w:b/>
          <w:bCs/>
          <w:i w:val="0"/>
          <w:iCs w:val="0"/>
          <w:color w:val="auto"/>
          <w:sz w:val="24"/>
          <w:szCs w:val="24"/>
          <w:lang w:val="en-US"/>
        </w:rPr>
        <w:t>.1 Penelitian Terdahulu</w:t>
      </w:r>
      <w:bookmarkEnd w:id="13"/>
      <w:bookmarkEnd w:id="14"/>
      <w:bookmarkEnd w:id="15"/>
    </w:p>
    <w:tbl>
      <w:tblPr>
        <w:tblW w:w="808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6"/>
        <w:gridCol w:w="1275"/>
        <w:gridCol w:w="2267"/>
        <w:gridCol w:w="1844"/>
        <w:gridCol w:w="2268"/>
      </w:tblGrid>
      <w:tr w:rsidR="006B0292" w:rsidRPr="005D0316" w14:paraId="54037097" w14:textId="77777777" w:rsidTr="00361802">
        <w:trPr>
          <w:trHeight w:val="666"/>
        </w:trPr>
        <w:tc>
          <w:tcPr>
            <w:tcW w:w="426" w:type="dxa"/>
            <w:tcBorders>
              <w:top w:val="single" w:sz="6" w:space="0" w:color="000000"/>
              <w:left w:val="single" w:sz="6" w:space="0" w:color="000000"/>
              <w:bottom w:val="single" w:sz="6" w:space="0" w:color="000000"/>
              <w:right w:val="single" w:sz="6" w:space="0" w:color="000000"/>
            </w:tcBorders>
            <w:hideMark/>
          </w:tcPr>
          <w:p w14:paraId="4CEB0937" w14:textId="244B0936" w:rsidR="006B0292" w:rsidRPr="005D0316" w:rsidRDefault="006B0292" w:rsidP="00BB16BE">
            <w:pPr>
              <w:pStyle w:val="BodyText"/>
              <w:spacing w:line="240" w:lineRule="auto"/>
              <w:ind w:left="567"/>
              <w:rPr>
                <w:rFonts w:cs="Times New Roman"/>
                <w:b/>
                <w:lang w:val="id-ID"/>
              </w:rPr>
            </w:pPr>
            <w:bookmarkStart w:id="16" w:name="_Hlk235498531"/>
            <w:r w:rsidRPr="005D0316">
              <w:rPr>
                <w:rFonts w:cs="Times New Roman"/>
                <w:b/>
                <w:lang w:val="id-ID"/>
              </w:rPr>
              <w:t>No</w:t>
            </w:r>
          </w:p>
        </w:tc>
        <w:tc>
          <w:tcPr>
            <w:tcW w:w="1275" w:type="dxa"/>
            <w:tcBorders>
              <w:top w:val="single" w:sz="6" w:space="0" w:color="000000"/>
              <w:left w:val="single" w:sz="6" w:space="0" w:color="000000"/>
              <w:bottom w:val="single" w:sz="6" w:space="0" w:color="000000"/>
              <w:right w:val="single" w:sz="6" w:space="0" w:color="000000"/>
            </w:tcBorders>
            <w:hideMark/>
          </w:tcPr>
          <w:p w14:paraId="6FCD68E1" w14:textId="77777777" w:rsidR="006B0292" w:rsidRPr="005D0316" w:rsidRDefault="006B0292" w:rsidP="00BB16BE">
            <w:pPr>
              <w:spacing w:line="240" w:lineRule="auto"/>
              <w:ind w:left="145" w:right="128" w:hanging="4"/>
              <w:jc w:val="center"/>
              <w:rPr>
                <w:b/>
                <w:lang w:val="id-ID"/>
              </w:rPr>
            </w:pPr>
            <w:r w:rsidRPr="005D0316">
              <w:rPr>
                <w:b/>
                <w:lang w:val="id-ID"/>
              </w:rPr>
              <w:t>Peneliti &amp; Tahun</w:t>
            </w:r>
          </w:p>
        </w:tc>
        <w:tc>
          <w:tcPr>
            <w:tcW w:w="2267" w:type="dxa"/>
            <w:tcBorders>
              <w:top w:val="single" w:sz="6" w:space="0" w:color="000000"/>
              <w:left w:val="single" w:sz="6" w:space="0" w:color="000000"/>
              <w:bottom w:val="single" w:sz="6" w:space="0" w:color="000000"/>
              <w:right w:val="single" w:sz="6" w:space="0" w:color="000000"/>
            </w:tcBorders>
            <w:hideMark/>
          </w:tcPr>
          <w:p w14:paraId="363D8124" w14:textId="77777777" w:rsidR="006B0292" w:rsidRPr="005D0316" w:rsidRDefault="006B0292" w:rsidP="00BB16BE">
            <w:pPr>
              <w:spacing w:line="240" w:lineRule="auto"/>
              <w:ind w:left="131" w:right="-139"/>
              <w:jc w:val="center"/>
              <w:rPr>
                <w:b/>
                <w:lang w:val="id-ID"/>
              </w:rPr>
            </w:pPr>
            <w:r w:rsidRPr="005D0316">
              <w:rPr>
                <w:b/>
                <w:lang w:val="id-ID"/>
              </w:rPr>
              <w:t>Judul Penelitian</w:t>
            </w:r>
          </w:p>
        </w:tc>
        <w:tc>
          <w:tcPr>
            <w:tcW w:w="1844" w:type="dxa"/>
            <w:tcBorders>
              <w:top w:val="single" w:sz="6" w:space="0" w:color="000000"/>
              <w:left w:val="single" w:sz="6" w:space="0" w:color="000000"/>
              <w:bottom w:val="single" w:sz="6" w:space="0" w:color="000000"/>
              <w:right w:val="single" w:sz="6" w:space="0" w:color="000000"/>
            </w:tcBorders>
            <w:hideMark/>
          </w:tcPr>
          <w:p w14:paraId="7090103A" w14:textId="77777777" w:rsidR="006B0292" w:rsidRPr="005D0316" w:rsidRDefault="006B0292" w:rsidP="00BB16BE">
            <w:pPr>
              <w:spacing w:line="240" w:lineRule="auto"/>
              <w:ind w:left="139"/>
              <w:jc w:val="center"/>
              <w:rPr>
                <w:b/>
                <w:lang w:val="id-ID"/>
              </w:rPr>
            </w:pPr>
            <w:r w:rsidRPr="005D0316">
              <w:rPr>
                <w:b/>
                <w:lang w:val="id-ID"/>
              </w:rPr>
              <w:t>Variabel Penelitian</w:t>
            </w:r>
          </w:p>
        </w:tc>
        <w:tc>
          <w:tcPr>
            <w:tcW w:w="2268" w:type="dxa"/>
            <w:tcBorders>
              <w:top w:val="single" w:sz="6" w:space="0" w:color="000000"/>
              <w:left w:val="single" w:sz="6" w:space="0" w:color="000000"/>
              <w:bottom w:val="single" w:sz="6" w:space="0" w:color="000000"/>
              <w:right w:val="single" w:sz="6" w:space="0" w:color="000000"/>
            </w:tcBorders>
            <w:hideMark/>
          </w:tcPr>
          <w:p w14:paraId="61CB6C37" w14:textId="77777777" w:rsidR="006B0292" w:rsidRPr="005D0316" w:rsidRDefault="006B0292" w:rsidP="00BB16BE">
            <w:pPr>
              <w:spacing w:line="240" w:lineRule="auto"/>
              <w:jc w:val="center"/>
              <w:rPr>
                <w:b/>
                <w:lang w:val="id-ID"/>
              </w:rPr>
            </w:pPr>
            <w:r w:rsidRPr="005D0316">
              <w:rPr>
                <w:b/>
                <w:lang w:val="id-ID"/>
              </w:rPr>
              <w:t>Hasil &amp; Temuan Utama</w:t>
            </w:r>
          </w:p>
        </w:tc>
      </w:tr>
      <w:bookmarkEnd w:id="16"/>
      <w:tr w:rsidR="006B0292" w:rsidRPr="006B0292" w14:paraId="794567A3" w14:textId="77777777" w:rsidTr="005D0316">
        <w:trPr>
          <w:trHeight w:val="4262"/>
        </w:trPr>
        <w:tc>
          <w:tcPr>
            <w:tcW w:w="426" w:type="dxa"/>
            <w:tcBorders>
              <w:top w:val="single" w:sz="6" w:space="0" w:color="000000"/>
              <w:left w:val="single" w:sz="6" w:space="0" w:color="000000"/>
              <w:bottom w:val="single" w:sz="4" w:space="0" w:color="auto"/>
              <w:right w:val="single" w:sz="6" w:space="0" w:color="000000"/>
            </w:tcBorders>
            <w:hideMark/>
          </w:tcPr>
          <w:p w14:paraId="39A552CC" w14:textId="77777777" w:rsidR="006B0292" w:rsidRDefault="00361802" w:rsidP="00BB16BE">
            <w:pPr>
              <w:pStyle w:val="BodyText"/>
              <w:spacing w:line="240" w:lineRule="auto"/>
              <w:ind w:left="567"/>
              <w:rPr>
                <w:rFonts w:cs="Times New Roman"/>
                <w:lang w:val="en-US"/>
              </w:rPr>
            </w:pPr>
            <w:r>
              <w:rPr>
                <w:rFonts w:cs="Times New Roman"/>
                <w:lang w:val="en-US"/>
              </w:rPr>
              <w:t>1</w:t>
            </w:r>
            <w:r w:rsidR="006B0292" w:rsidRPr="006B0292">
              <w:rPr>
                <w:rFonts w:cs="Times New Roman"/>
                <w:lang w:val="id-ID"/>
              </w:rPr>
              <w:t>1</w:t>
            </w:r>
          </w:p>
          <w:p w14:paraId="67CC387E" w14:textId="77777777" w:rsidR="00361802" w:rsidRPr="00361802" w:rsidRDefault="00361802" w:rsidP="00BB16BE">
            <w:pPr>
              <w:spacing w:line="240" w:lineRule="auto"/>
              <w:rPr>
                <w:lang w:val="id-ID"/>
              </w:rPr>
            </w:pPr>
          </w:p>
          <w:p w14:paraId="3D1C6628" w14:textId="77777777" w:rsidR="00361802" w:rsidRPr="00361802" w:rsidRDefault="00361802" w:rsidP="00BB16BE">
            <w:pPr>
              <w:spacing w:line="240" w:lineRule="auto"/>
              <w:rPr>
                <w:lang w:val="id-ID"/>
              </w:rPr>
            </w:pPr>
          </w:p>
          <w:p w14:paraId="4AAEAFE6" w14:textId="77777777" w:rsidR="00361802" w:rsidRPr="00361802" w:rsidRDefault="00361802" w:rsidP="00BB16BE">
            <w:pPr>
              <w:spacing w:line="240" w:lineRule="auto"/>
              <w:rPr>
                <w:lang w:val="id-ID"/>
              </w:rPr>
            </w:pPr>
          </w:p>
          <w:p w14:paraId="2B6DB6B8" w14:textId="77777777" w:rsidR="00361802" w:rsidRDefault="00361802" w:rsidP="00BB16BE">
            <w:pPr>
              <w:spacing w:line="240" w:lineRule="auto"/>
              <w:rPr>
                <w:rFonts w:cs="Times New Roman"/>
                <w:szCs w:val="24"/>
                <w:lang w:val="en-US"/>
              </w:rPr>
            </w:pPr>
          </w:p>
          <w:p w14:paraId="5ADED310" w14:textId="31540633" w:rsidR="00361802" w:rsidRDefault="00361802" w:rsidP="00BB16BE">
            <w:pPr>
              <w:spacing w:line="240" w:lineRule="auto"/>
              <w:jc w:val="center"/>
              <w:rPr>
                <w:rFonts w:cs="Times New Roman"/>
                <w:szCs w:val="24"/>
                <w:lang w:val="en-US"/>
              </w:rPr>
            </w:pPr>
            <w:r>
              <w:rPr>
                <w:rFonts w:cs="Times New Roman"/>
                <w:szCs w:val="24"/>
                <w:lang w:val="en-US"/>
              </w:rPr>
              <w:t>1</w:t>
            </w:r>
          </w:p>
          <w:p w14:paraId="23033F4D" w14:textId="2B078750" w:rsidR="00361802" w:rsidRPr="006B0292" w:rsidRDefault="00361802" w:rsidP="00BB16BE">
            <w:pPr>
              <w:spacing w:line="240" w:lineRule="auto"/>
              <w:rPr>
                <w:lang w:val="id-ID"/>
              </w:rPr>
            </w:pPr>
          </w:p>
        </w:tc>
        <w:tc>
          <w:tcPr>
            <w:tcW w:w="1275" w:type="dxa"/>
            <w:tcBorders>
              <w:top w:val="single" w:sz="6" w:space="0" w:color="000000"/>
              <w:left w:val="single" w:sz="6" w:space="0" w:color="000000"/>
              <w:bottom w:val="single" w:sz="4" w:space="0" w:color="auto"/>
              <w:right w:val="single" w:sz="6" w:space="0" w:color="000000"/>
            </w:tcBorders>
            <w:hideMark/>
          </w:tcPr>
          <w:p w14:paraId="4EA03CC5" w14:textId="77777777" w:rsidR="006B0292" w:rsidRPr="006B0292" w:rsidRDefault="006B0292" w:rsidP="00BB16BE">
            <w:pPr>
              <w:pStyle w:val="BodyText"/>
              <w:spacing w:line="240" w:lineRule="auto"/>
              <w:ind w:left="145" w:right="128" w:hanging="4"/>
              <w:jc w:val="left"/>
              <w:rPr>
                <w:rFonts w:cs="Times New Roman"/>
                <w:lang w:val="id-ID"/>
              </w:rPr>
            </w:pPr>
            <w:r w:rsidRPr="006B0292">
              <w:rPr>
                <w:rFonts w:cs="Times New Roman"/>
                <w:lang w:val="id-ID"/>
              </w:rPr>
              <w:t>Dakhli, A. (2021)</w:t>
            </w:r>
          </w:p>
        </w:tc>
        <w:tc>
          <w:tcPr>
            <w:tcW w:w="2267" w:type="dxa"/>
            <w:tcBorders>
              <w:top w:val="single" w:sz="6" w:space="0" w:color="000000"/>
              <w:left w:val="single" w:sz="6" w:space="0" w:color="000000"/>
              <w:bottom w:val="single" w:sz="4" w:space="0" w:color="auto"/>
              <w:right w:val="single" w:sz="6" w:space="0" w:color="000000"/>
            </w:tcBorders>
            <w:hideMark/>
          </w:tcPr>
          <w:p w14:paraId="74483C90" w14:textId="77777777" w:rsidR="006B0292" w:rsidRPr="006B0292" w:rsidRDefault="006B0292" w:rsidP="00BB16BE">
            <w:pPr>
              <w:pStyle w:val="BodyText"/>
              <w:spacing w:line="240" w:lineRule="auto"/>
              <w:ind w:left="131" w:right="13"/>
              <w:jc w:val="left"/>
              <w:rPr>
                <w:rFonts w:cs="Times New Roman"/>
                <w:i/>
                <w:iCs/>
                <w:lang w:val="id-ID"/>
              </w:rPr>
            </w:pPr>
            <w:r w:rsidRPr="006B0292">
              <w:rPr>
                <w:rFonts w:cs="Times New Roman"/>
                <w:i/>
                <w:iCs/>
                <w:lang w:val="id-ID"/>
              </w:rPr>
              <w:t>The impact of ownership structure on corporate social responsibility: the moderating role of financial performance</w:t>
            </w:r>
          </w:p>
        </w:tc>
        <w:tc>
          <w:tcPr>
            <w:tcW w:w="1844" w:type="dxa"/>
            <w:tcBorders>
              <w:top w:val="single" w:sz="6" w:space="0" w:color="000000"/>
              <w:left w:val="single" w:sz="6" w:space="0" w:color="000000"/>
              <w:bottom w:val="single" w:sz="4" w:space="0" w:color="auto"/>
              <w:right w:val="single" w:sz="6" w:space="0" w:color="000000"/>
            </w:tcBorders>
          </w:tcPr>
          <w:p w14:paraId="124848D7" w14:textId="77777777" w:rsidR="006B0292" w:rsidRPr="006B0292" w:rsidRDefault="006B0292" w:rsidP="00BB16BE">
            <w:pPr>
              <w:pStyle w:val="BodyText"/>
              <w:numPr>
                <w:ilvl w:val="0"/>
                <w:numId w:val="2"/>
              </w:numPr>
              <w:spacing w:line="240" w:lineRule="auto"/>
              <w:ind w:left="139"/>
              <w:jc w:val="left"/>
              <w:rPr>
                <w:rFonts w:cs="Times New Roman"/>
                <w:i/>
                <w:iCs/>
                <w:lang w:val="en-US"/>
              </w:rPr>
            </w:pPr>
            <w:r w:rsidRPr="006B0292">
              <w:rPr>
                <w:rFonts w:cs="Times New Roman"/>
                <w:i/>
                <w:iCs/>
                <w:lang w:val="en-US"/>
              </w:rPr>
              <w:t>Institutional Ownership</w:t>
            </w:r>
          </w:p>
          <w:p w14:paraId="7A1F2290" w14:textId="77777777" w:rsidR="006B0292" w:rsidRPr="006B0292" w:rsidRDefault="006B0292" w:rsidP="00BB16BE">
            <w:pPr>
              <w:pStyle w:val="BodyText"/>
              <w:numPr>
                <w:ilvl w:val="0"/>
                <w:numId w:val="2"/>
              </w:numPr>
              <w:spacing w:line="240" w:lineRule="auto"/>
              <w:ind w:left="139"/>
              <w:jc w:val="left"/>
              <w:rPr>
                <w:rFonts w:cs="Times New Roman"/>
                <w:i/>
                <w:iCs/>
                <w:lang w:val="en-US"/>
              </w:rPr>
            </w:pPr>
            <w:r w:rsidRPr="006B0292">
              <w:rPr>
                <w:rFonts w:cs="Times New Roman"/>
                <w:i/>
                <w:iCs/>
                <w:lang w:val="en-US"/>
              </w:rPr>
              <w:t>Managerial Ownership</w:t>
            </w:r>
          </w:p>
          <w:p w14:paraId="177DF2F0" w14:textId="77777777" w:rsidR="006B0292" w:rsidRPr="006B0292" w:rsidRDefault="006B0292" w:rsidP="00BB16BE">
            <w:pPr>
              <w:pStyle w:val="BodyText"/>
              <w:numPr>
                <w:ilvl w:val="0"/>
                <w:numId w:val="2"/>
              </w:numPr>
              <w:spacing w:line="240" w:lineRule="auto"/>
              <w:ind w:left="139"/>
              <w:jc w:val="left"/>
              <w:rPr>
                <w:rFonts w:cs="Times New Roman"/>
                <w:lang w:val="id-ID"/>
              </w:rPr>
            </w:pPr>
            <w:r w:rsidRPr="006B0292">
              <w:rPr>
                <w:rFonts w:cs="Times New Roman"/>
                <w:i/>
                <w:iCs/>
                <w:lang w:val="en-US"/>
              </w:rPr>
              <w:t>CSR</w:t>
            </w:r>
          </w:p>
          <w:p w14:paraId="55DDA825" w14:textId="77777777" w:rsidR="006B0292" w:rsidRPr="006B0292" w:rsidRDefault="006B0292" w:rsidP="00BB16BE">
            <w:pPr>
              <w:pStyle w:val="BodyText"/>
              <w:numPr>
                <w:ilvl w:val="0"/>
                <w:numId w:val="2"/>
              </w:numPr>
              <w:spacing w:line="240" w:lineRule="auto"/>
              <w:ind w:left="139"/>
              <w:jc w:val="left"/>
              <w:rPr>
                <w:rFonts w:cs="Times New Roman"/>
                <w:lang w:val="id-ID"/>
              </w:rPr>
            </w:pPr>
            <w:r w:rsidRPr="006B0292">
              <w:rPr>
                <w:rFonts w:cs="Times New Roman"/>
                <w:i/>
                <w:iCs/>
                <w:lang w:val="en-US"/>
              </w:rPr>
              <w:t>Financial Performance</w:t>
            </w:r>
          </w:p>
          <w:p w14:paraId="33886DCE" w14:textId="77777777" w:rsidR="006B0292" w:rsidRPr="006B0292" w:rsidRDefault="006B0292" w:rsidP="00BB16BE">
            <w:pPr>
              <w:pStyle w:val="BodyText"/>
              <w:spacing w:line="240" w:lineRule="auto"/>
              <w:ind w:left="139"/>
              <w:jc w:val="left"/>
              <w:rPr>
                <w:rFonts w:cs="Times New Roman"/>
                <w:lang w:val="id-ID"/>
              </w:rPr>
            </w:pPr>
          </w:p>
        </w:tc>
        <w:tc>
          <w:tcPr>
            <w:tcW w:w="2268" w:type="dxa"/>
            <w:tcBorders>
              <w:top w:val="single" w:sz="6" w:space="0" w:color="000000"/>
              <w:left w:val="single" w:sz="6" w:space="0" w:color="000000"/>
              <w:bottom w:val="single" w:sz="4" w:space="0" w:color="auto"/>
              <w:right w:val="single" w:sz="6" w:space="0" w:color="000000"/>
            </w:tcBorders>
            <w:hideMark/>
          </w:tcPr>
          <w:p w14:paraId="27F3A8E9" w14:textId="77777777" w:rsidR="006B0292" w:rsidRDefault="006B0292" w:rsidP="00BB16BE">
            <w:pPr>
              <w:pStyle w:val="BodyText"/>
              <w:spacing w:line="240" w:lineRule="auto"/>
              <w:ind w:left="144"/>
              <w:rPr>
                <w:rFonts w:cs="Times New Roman"/>
                <w:lang w:val="id-ID"/>
              </w:rPr>
            </w:pPr>
            <w:r w:rsidRPr="006B0292">
              <w:rPr>
                <w:rFonts w:cs="Times New Roman"/>
                <w:i/>
                <w:iCs/>
                <w:lang w:val="id-ID"/>
              </w:rPr>
              <w:t>Institutional ownership</w:t>
            </w:r>
            <w:r w:rsidRPr="006B0292">
              <w:rPr>
                <w:rFonts w:cs="Times New Roman"/>
                <w:lang w:val="id-ID"/>
              </w:rPr>
              <w:t xml:space="preserve"> berdampak positif, </w:t>
            </w:r>
            <w:r w:rsidRPr="006B0292">
              <w:rPr>
                <w:rFonts w:cs="Times New Roman"/>
                <w:i/>
                <w:iCs/>
                <w:lang w:val="id-ID"/>
              </w:rPr>
              <w:t>Managerial ownership</w:t>
            </w:r>
            <w:r w:rsidRPr="006B0292">
              <w:rPr>
                <w:rFonts w:cs="Times New Roman"/>
                <w:lang w:val="id-ID"/>
              </w:rPr>
              <w:t xml:space="preserve"> negatif terhadap CSR. </w:t>
            </w:r>
            <w:r w:rsidRPr="006B0292">
              <w:rPr>
                <w:rFonts w:cs="Times New Roman"/>
                <w:i/>
                <w:iCs/>
                <w:lang w:val="id-ID"/>
              </w:rPr>
              <w:t>Financial performance</w:t>
            </w:r>
            <w:r w:rsidRPr="006B0292">
              <w:rPr>
                <w:rFonts w:cs="Times New Roman"/>
                <w:lang w:val="id-ID"/>
              </w:rPr>
              <w:t xml:space="preserve"> memperkuat moderasi kausalitas kedua struktur kepemilikan tersebut terhadap komitmen pengungkapan CSR.</w:t>
            </w:r>
          </w:p>
          <w:p w14:paraId="2BCBC403" w14:textId="77777777" w:rsidR="00361802" w:rsidRDefault="00361802" w:rsidP="00BB16BE">
            <w:pPr>
              <w:pStyle w:val="BodyText"/>
              <w:spacing w:line="240" w:lineRule="auto"/>
              <w:rPr>
                <w:rFonts w:cs="Times New Roman"/>
                <w:lang w:val="id-ID"/>
              </w:rPr>
            </w:pPr>
          </w:p>
          <w:p w14:paraId="7759F7FE" w14:textId="77777777" w:rsidR="00361802" w:rsidRDefault="00361802" w:rsidP="00BB16BE">
            <w:pPr>
              <w:pStyle w:val="BodyText"/>
              <w:spacing w:line="240" w:lineRule="auto"/>
              <w:ind w:left="144"/>
              <w:rPr>
                <w:rFonts w:cs="Times New Roman"/>
                <w:lang w:val="id-ID"/>
              </w:rPr>
            </w:pPr>
          </w:p>
          <w:p w14:paraId="13E953ED" w14:textId="432B8354" w:rsidR="00361802" w:rsidRPr="006B0292" w:rsidRDefault="00361802" w:rsidP="00BB16BE">
            <w:pPr>
              <w:pStyle w:val="BodyText"/>
              <w:spacing w:line="240" w:lineRule="auto"/>
              <w:ind w:left="144"/>
              <w:rPr>
                <w:rFonts w:cs="Times New Roman"/>
                <w:lang w:val="id-ID"/>
              </w:rPr>
            </w:pPr>
          </w:p>
        </w:tc>
      </w:tr>
      <w:tr w:rsidR="006B0292" w:rsidRPr="006B0292" w14:paraId="1D16B2D0" w14:textId="77777777" w:rsidTr="005D0316">
        <w:trPr>
          <w:trHeight w:val="4239"/>
        </w:trPr>
        <w:tc>
          <w:tcPr>
            <w:tcW w:w="426" w:type="dxa"/>
            <w:tcBorders>
              <w:top w:val="single" w:sz="4" w:space="0" w:color="auto"/>
              <w:left w:val="single" w:sz="6" w:space="0" w:color="000000"/>
              <w:bottom w:val="single" w:sz="4" w:space="0" w:color="auto"/>
              <w:right w:val="single" w:sz="6" w:space="0" w:color="000000"/>
            </w:tcBorders>
          </w:tcPr>
          <w:p w14:paraId="52C3024E" w14:textId="77777777" w:rsidR="006B0292" w:rsidRPr="006B0292" w:rsidRDefault="006B0292" w:rsidP="00BB16BE">
            <w:pPr>
              <w:pStyle w:val="BodyText"/>
              <w:spacing w:line="240" w:lineRule="auto"/>
              <w:ind w:left="567"/>
              <w:rPr>
                <w:rFonts w:cs="Times New Roman"/>
                <w:lang w:val="id-ID"/>
              </w:rPr>
            </w:pPr>
            <w:r w:rsidRPr="006B0292">
              <w:rPr>
                <w:rFonts w:cs="Times New Roman"/>
                <w:lang w:val="id-ID"/>
              </w:rPr>
              <w:lastRenderedPageBreak/>
              <w:t>2</w:t>
            </w:r>
          </w:p>
          <w:p w14:paraId="356314F7" w14:textId="77777777" w:rsidR="006B0292" w:rsidRDefault="006B0292" w:rsidP="00BB16BE">
            <w:pPr>
              <w:pStyle w:val="BodyText"/>
              <w:spacing w:line="240" w:lineRule="auto"/>
              <w:ind w:left="567"/>
              <w:rPr>
                <w:rFonts w:cs="Times New Roman"/>
                <w:lang w:val="id-ID"/>
              </w:rPr>
            </w:pPr>
          </w:p>
          <w:p w14:paraId="5E88BC20" w14:textId="77777777" w:rsidR="00361802" w:rsidRPr="00361802" w:rsidRDefault="00361802" w:rsidP="00BB16BE">
            <w:pPr>
              <w:spacing w:line="240" w:lineRule="auto"/>
              <w:rPr>
                <w:lang w:val="id-ID"/>
              </w:rPr>
            </w:pPr>
          </w:p>
          <w:p w14:paraId="00E7DFFE" w14:textId="77777777" w:rsidR="00361802" w:rsidRPr="00361802" w:rsidRDefault="00361802" w:rsidP="00BB16BE">
            <w:pPr>
              <w:spacing w:line="240" w:lineRule="auto"/>
              <w:rPr>
                <w:lang w:val="id-ID"/>
              </w:rPr>
            </w:pPr>
          </w:p>
          <w:p w14:paraId="490D2A27" w14:textId="77777777" w:rsidR="00361802" w:rsidRPr="00361802" w:rsidRDefault="00361802" w:rsidP="00BB16BE">
            <w:pPr>
              <w:spacing w:line="240" w:lineRule="auto"/>
              <w:rPr>
                <w:lang w:val="id-ID"/>
              </w:rPr>
            </w:pPr>
          </w:p>
          <w:p w14:paraId="1F6DEFFB" w14:textId="77777777" w:rsidR="00361802" w:rsidRPr="00361802" w:rsidRDefault="00361802" w:rsidP="00BB16BE">
            <w:pPr>
              <w:spacing w:line="240" w:lineRule="auto"/>
              <w:rPr>
                <w:lang w:val="id-ID"/>
              </w:rPr>
            </w:pPr>
          </w:p>
          <w:p w14:paraId="1D9AAA5A" w14:textId="77777777" w:rsidR="00361802" w:rsidRDefault="00361802" w:rsidP="00BB16BE">
            <w:pPr>
              <w:spacing w:line="240" w:lineRule="auto"/>
              <w:rPr>
                <w:rFonts w:cs="Times New Roman"/>
                <w:szCs w:val="24"/>
                <w:lang w:val="id-ID"/>
              </w:rPr>
            </w:pPr>
          </w:p>
          <w:p w14:paraId="1E3C515D" w14:textId="26D9AC3A" w:rsidR="00361802" w:rsidRPr="006B0292" w:rsidRDefault="00361802" w:rsidP="00BB16BE">
            <w:pPr>
              <w:spacing w:line="240" w:lineRule="auto"/>
              <w:jc w:val="center"/>
              <w:rPr>
                <w:lang w:val="en-US"/>
              </w:rPr>
            </w:pPr>
            <w:r>
              <w:rPr>
                <w:lang w:val="en-US"/>
              </w:rPr>
              <w:t>2</w:t>
            </w:r>
          </w:p>
        </w:tc>
        <w:tc>
          <w:tcPr>
            <w:tcW w:w="1275" w:type="dxa"/>
            <w:tcBorders>
              <w:top w:val="single" w:sz="4" w:space="0" w:color="auto"/>
              <w:left w:val="single" w:sz="6" w:space="0" w:color="000000"/>
              <w:bottom w:val="single" w:sz="4" w:space="0" w:color="auto"/>
              <w:right w:val="single" w:sz="6" w:space="0" w:color="000000"/>
            </w:tcBorders>
            <w:hideMark/>
          </w:tcPr>
          <w:p w14:paraId="0B0A2D43" w14:textId="77777777" w:rsidR="006B0292" w:rsidRPr="006B0292" w:rsidRDefault="006B0292" w:rsidP="00BB16BE">
            <w:pPr>
              <w:pStyle w:val="BodyText"/>
              <w:spacing w:line="240" w:lineRule="auto"/>
              <w:ind w:left="145" w:right="128" w:hanging="4"/>
              <w:jc w:val="left"/>
              <w:rPr>
                <w:rFonts w:cs="Times New Roman"/>
                <w:lang w:val="en-US"/>
              </w:rPr>
            </w:pPr>
            <w:r w:rsidRPr="006B0292">
              <w:rPr>
                <w:rFonts w:cs="Times New Roman"/>
                <w:lang w:val="en-US"/>
              </w:rPr>
              <w:t>Aulia, Hikmat, Nur, &amp; Saleh (2026)</w:t>
            </w:r>
          </w:p>
        </w:tc>
        <w:tc>
          <w:tcPr>
            <w:tcW w:w="2267" w:type="dxa"/>
            <w:tcBorders>
              <w:top w:val="single" w:sz="4" w:space="0" w:color="auto"/>
              <w:left w:val="single" w:sz="6" w:space="0" w:color="000000"/>
              <w:bottom w:val="single" w:sz="4" w:space="0" w:color="auto"/>
              <w:right w:val="single" w:sz="6" w:space="0" w:color="000000"/>
            </w:tcBorders>
            <w:hideMark/>
          </w:tcPr>
          <w:p w14:paraId="207719F7" w14:textId="77777777" w:rsidR="006B0292" w:rsidRPr="006B0292" w:rsidRDefault="006B0292" w:rsidP="00BB16BE">
            <w:pPr>
              <w:pStyle w:val="BodyText"/>
              <w:spacing w:line="240" w:lineRule="auto"/>
              <w:ind w:left="131" w:right="0"/>
              <w:jc w:val="left"/>
              <w:rPr>
                <w:rFonts w:cs="Times New Roman"/>
                <w:lang w:val="en-US"/>
              </w:rPr>
            </w:pPr>
            <w:r w:rsidRPr="006B0292">
              <w:rPr>
                <w:rFonts w:cs="Times New Roman"/>
                <w:lang w:val="en-US"/>
              </w:rPr>
              <w:t>Pengaruh Kepemilikan Institusional, Kepemilikan Manajerial, dan Komite Audit terhadap Nilai Perusahaan Bank BUMN Periode 2021-2024</w:t>
            </w:r>
          </w:p>
        </w:tc>
        <w:tc>
          <w:tcPr>
            <w:tcW w:w="1844" w:type="dxa"/>
            <w:tcBorders>
              <w:top w:val="single" w:sz="4" w:space="0" w:color="auto"/>
              <w:left w:val="single" w:sz="6" w:space="0" w:color="000000"/>
              <w:bottom w:val="single" w:sz="4" w:space="0" w:color="auto"/>
              <w:right w:val="single" w:sz="6" w:space="0" w:color="000000"/>
            </w:tcBorders>
          </w:tcPr>
          <w:p w14:paraId="142BDC2B" w14:textId="77777777" w:rsidR="006B0292" w:rsidRPr="006B0292" w:rsidRDefault="006B0292" w:rsidP="00BB16BE">
            <w:pPr>
              <w:pStyle w:val="BodyText"/>
              <w:numPr>
                <w:ilvl w:val="0"/>
                <w:numId w:val="3"/>
              </w:numPr>
              <w:spacing w:line="240" w:lineRule="auto"/>
              <w:ind w:left="139"/>
              <w:jc w:val="left"/>
              <w:rPr>
                <w:rFonts w:cs="Times New Roman"/>
                <w:lang w:val="en-US"/>
              </w:rPr>
            </w:pPr>
            <w:r w:rsidRPr="006B0292">
              <w:rPr>
                <w:rFonts w:cs="Times New Roman"/>
                <w:lang w:val="en-US"/>
              </w:rPr>
              <w:t>Kepemilikan Institusional</w:t>
            </w:r>
          </w:p>
          <w:p w14:paraId="71AA2360" w14:textId="77777777" w:rsidR="006B0292" w:rsidRPr="006B0292" w:rsidRDefault="006B0292" w:rsidP="00BB16BE">
            <w:pPr>
              <w:pStyle w:val="BodyText"/>
              <w:numPr>
                <w:ilvl w:val="0"/>
                <w:numId w:val="3"/>
              </w:numPr>
              <w:spacing w:line="240" w:lineRule="auto"/>
              <w:ind w:left="139"/>
              <w:jc w:val="left"/>
              <w:rPr>
                <w:rFonts w:cs="Times New Roman"/>
                <w:lang w:val="en-US"/>
              </w:rPr>
            </w:pPr>
            <w:r w:rsidRPr="006B0292">
              <w:rPr>
                <w:rFonts w:cs="Times New Roman"/>
                <w:lang w:val="en-US"/>
              </w:rPr>
              <w:t>Kepemilikan Manajerial</w:t>
            </w:r>
          </w:p>
          <w:p w14:paraId="271C1E33" w14:textId="77777777" w:rsidR="006B0292" w:rsidRPr="006B0292" w:rsidRDefault="006B0292" w:rsidP="00BB16BE">
            <w:pPr>
              <w:pStyle w:val="BodyText"/>
              <w:numPr>
                <w:ilvl w:val="0"/>
                <w:numId w:val="3"/>
              </w:numPr>
              <w:spacing w:line="240" w:lineRule="auto"/>
              <w:ind w:left="139"/>
              <w:jc w:val="left"/>
              <w:rPr>
                <w:rFonts w:cs="Times New Roman"/>
                <w:lang w:val="en-US"/>
              </w:rPr>
            </w:pPr>
            <w:r w:rsidRPr="006B0292">
              <w:rPr>
                <w:rFonts w:cs="Times New Roman"/>
                <w:lang w:val="en-US"/>
              </w:rPr>
              <w:t>Komite Audit</w:t>
            </w:r>
          </w:p>
          <w:p w14:paraId="7CBF5BF9" w14:textId="77777777" w:rsidR="006B0292" w:rsidRPr="006B0292" w:rsidRDefault="006B0292" w:rsidP="00BB16BE">
            <w:pPr>
              <w:pStyle w:val="BodyText"/>
              <w:numPr>
                <w:ilvl w:val="0"/>
                <w:numId w:val="3"/>
              </w:numPr>
              <w:spacing w:line="240" w:lineRule="auto"/>
              <w:ind w:left="139"/>
              <w:jc w:val="left"/>
              <w:rPr>
                <w:rFonts w:cs="Times New Roman"/>
                <w:lang w:val="en-US"/>
              </w:rPr>
            </w:pPr>
            <w:r w:rsidRPr="006B0292">
              <w:rPr>
                <w:rFonts w:cs="Times New Roman"/>
                <w:lang w:val="en-US"/>
              </w:rPr>
              <w:t>Nilai Perusahaan (PBV)</w:t>
            </w:r>
          </w:p>
          <w:p w14:paraId="54384A4E" w14:textId="77777777" w:rsidR="006B0292" w:rsidRPr="006B0292" w:rsidRDefault="006B0292" w:rsidP="00BB16BE">
            <w:pPr>
              <w:pStyle w:val="BodyText"/>
              <w:spacing w:line="240" w:lineRule="auto"/>
              <w:ind w:left="139"/>
              <w:jc w:val="left"/>
              <w:rPr>
                <w:rFonts w:cs="Times New Roman"/>
                <w:lang w:val="en-US"/>
              </w:rPr>
            </w:pPr>
          </w:p>
        </w:tc>
        <w:tc>
          <w:tcPr>
            <w:tcW w:w="2268" w:type="dxa"/>
            <w:tcBorders>
              <w:top w:val="single" w:sz="4" w:space="0" w:color="auto"/>
              <w:left w:val="single" w:sz="6" w:space="0" w:color="000000"/>
              <w:bottom w:val="single" w:sz="4" w:space="0" w:color="auto"/>
              <w:right w:val="single" w:sz="6" w:space="0" w:color="000000"/>
            </w:tcBorders>
            <w:hideMark/>
          </w:tcPr>
          <w:p w14:paraId="580042FC" w14:textId="4DF45B5C" w:rsidR="006B0292" w:rsidRPr="005D0316" w:rsidRDefault="006B0292" w:rsidP="00BB16BE">
            <w:pPr>
              <w:pStyle w:val="BodyText"/>
              <w:spacing w:line="240" w:lineRule="auto"/>
              <w:ind w:left="144"/>
              <w:jc w:val="left"/>
              <w:rPr>
                <w:rFonts w:cs="Times New Roman"/>
                <w:lang w:val="en-US"/>
              </w:rPr>
            </w:pPr>
            <w:r w:rsidRPr="006B0292">
              <w:rPr>
                <w:rFonts w:cs="Times New Roman"/>
                <w:lang w:val="en-ID"/>
              </w:rPr>
              <w:t>Kepemilikan institusional memperkuat (memoderasi positif) pengaruh ERM terhadap nilai perusahaan.</w:t>
            </w:r>
            <w:r w:rsidR="005D0316">
              <w:rPr>
                <w:rFonts w:cs="Times New Roman"/>
                <w:lang w:val="en-ID"/>
              </w:rPr>
              <w:t xml:space="preserve"> </w:t>
            </w:r>
            <w:r w:rsidRPr="006B0292">
              <w:rPr>
                <w:rFonts w:cs="Times New Roman"/>
                <w:lang w:val="en-ID"/>
              </w:rPr>
              <w:t>Kepemilikan institusional memperkuat (memoderasi positif) pengaruh profitabilitas terhadap nilai perusahaan.</w:t>
            </w:r>
          </w:p>
        </w:tc>
      </w:tr>
    </w:tbl>
    <w:p w14:paraId="713B4427" w14:textId="27515B30" w:rsidR="005D0316" w:rsidRDefault="005D0316" w:rsidP="008F4036">
      <w:pPr>
        <w:spacing w:line="240" w:lineRule="auto"/>
      </w:pPr>
    </w:p>
    <w:p w14:paraId="7723FD6E" w14:textId="5AEA698A" w:rsidR="00BB16BE" w:rsidRDefault="00BB16BE" w:rsidP="008F4036">
      <w:pPr>
        <w:spacing w:line="240" w:lineRule="auto"/>
      </w:pPr>
    </w:p>
    <w:p w14:paraId="6DDFCB2A" w14:textId="3D820A03" w:rsidR="00030D4C" w:rsidRDefault="00030D4C" w:rsidP="008F4036">
      <w:pPr>
        <w:spacing w:line="240" w:lineRule="auto"/>
      </w:pPr>
    </w:p>
    <w:p w14:paraId="40C6E364" w14:textId="290E460D" w:rsidR="00030D4C" w:rsidRDefault="00030D4C" w:rsidP="008F4036">
      <w:pPr>
        <w:spacing w:line="240" w:lineRule="auto"/>
      </w:pPr>
    </w:p>
    <w:p w14:paraId="23A22895" w14:textId="1EFB9706" w:rsidR="00030D4C" w:rsidRDefault="00030D4C" w:rsidP="008F4036">
      <w:pPr>
        <w:spacing w:line="240" w:lineRule="auto"/>
      </w:pPr>
    </w:p>
    <w:p w14:paraId="34DD922E" w14:textId="333DAFC0" w:rsidR="00030D4C" w:rsidRDefault="00030D4C" w:rsidP="008F4036">
      <w:pPr>
        <w:spacing w:line="240" w:lineRule="auto"/>
      </w:pPr>
    </w:p>
    <w:p w14:paraId="67A7A987" w14:textId="261F7B9B" w:rsidR="00030D4C" w:rsidRDefault="00030D4C" w:rsidP="008F4036">
      <w:pPr>
        <w:spacing w:line="240" w:lineRule="auto"/>
      </w:pPr>
    </w:p>
    <w:p w14:paraId="20D5C1CD" w14:textId="77777777" w:rsidR="00030D4C" w:rsidRDefault="00030D4C" w:rsidP="008F4036">
      <w:pPr>
        <w:spacing w:line="240" w:lineRule="auto"/>
      </w:pPr>
    </w:p>
    <w:p w14:paraId="3219D203" w14:textId="77777777" w:rsidR="00BB16BE" w:rsidRDefault="00BB16BE" w:rsidP="008F4036">
      <w:pPr>
        <w:spacing w:line="240" w:lineRule="auto"/>
      </w:pPr>
    </w:p>
    <w:tbl>
      <w:tblPr>
        <w:tblW w:w="808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6"/>
        <w:gridCol w:w="1275"/>
        <w:gridCol w:w="2267"/>
        <w:gridCol w:w="1844"/>
        <w:gridCol w:w="2268"/>
      </w:tblGrid>
      <w:tr w:rsidR="008F4036" w:rsidRPr="005D0316" w14:paraId="560A0240" w14:textId="77777777" w:rsidTr="00383280">
        <w:trPr>
          <w:trHeight w:val="666"/>
        </w:trPr>
        <w:tc>
          <w:tcPr>
            <w:tcW w:w="426" w:type="dxa"/>
            <w:tcBorders>
              <w:top w:val="single" w:sz="6" w:space="0" w:color="000000"/>
              <w:left w:val="single" w:sz="6" w:space="0" w:color="000000"/>
              <w:bottom w:val="single" w:sz="6" w:space="0" w:color="000000"/>
              <w:right w:val="single" w:sz="6" w:space="0" w:color="000000"/>
            </w:tcBorders>
            <w:hideMark/>
          </w:tcPr>
          <w:p w14:paraId="7B34FE30" w14:textId="77777777" w:rsidR="008F4036" w:rsidRPr="005D0316" w:rsidRDefault="008F4036" w:rsidP="00BB16BE">
            <w:pPr>
              <w:pStyle w:val="BodyText"/>
              <w:spacing w:line="240" w:lineRule="auto"/>
              <w:ind w:left="567"/>
              <w:rPr>
                <w:rFonts w:cs="Times New Roman"/>
                <w:b/>
                <w:lang w:val="id-ID"/>
              </w:rPr>
            </w:pPr>
            <w:r w:rsidRPr="005D0316">
              <w:rPr>
                <w:rFonts w:cs="Times New Roman"/>
                <w:b/>
                <w:lang w:val="id-ID"/>
              </w:rPr>
              <w:t>No</w:t>
            </w:r>
          </w:p>
        </w:tc>
        <w:tc>
          <w:tcPr>
            <w:tcW w:w="1275" w:type="dxa"/>
            <w:tcBorders>
              <w:top w:val="single" w:sz="6" w:space="0" w:color="000000"/>
              <w:left w:val="single" w:sz="6" w:space="0" w:color="000000"/>
              <w:bottom w:val="single" w:sz="6" w:space="0" w:color="000000"/>
              <w:right w:val="single" w:sz="6" w:space="0" w:color="000000"/>
            </w:tcBorders>
            <w:hideMark/>
          </w:tcPr>
          <w:p w14:paraId="3B086ECD" w14:textId="77777777" w:rsidR="008F4036" w:rsidRPr="005D0316" w:rsidRDefault="008F4036" w:rsidP="00BB16BE">
            <w:pPr>
              <w:spacing w:line="240" w:lineRule="auto"/>
              <w:ind w:left="145" w:right="128" w:hanging="4"/>
              <w:jc w:val="center"/>
              <w:rPr>
                <w:b/>
                <w:lang w:val="id-ID"/>
              </w:rPr>
            </w:pPr>
            <w:r w:rsidRPr="005D0316">
              <w:rPr>
                <w:b/>
                <w:lang w:val="id-ID"/>
              </w:rPr>
              <w:t>Peneliti &amp; Tahun</w:t>
            </w:r>
          </w:p>
        </w:tc>
        <w:tc>
          <w:tcPr>
            <w:tcW w:w="2267" w:type="dxa"/>
            <w:tcBorders>
              <w:top w:val="single" w:sz="6" w:space="0" w:color="000000"/>
              <w:left w:val="single" w:sz="6" w:space="0" w:color="000000"/>
              <w:bottom w:val="single" w:sz="6" w:space="0" w:color="000000"/>
              <w:right w:val="single" w:sz="6" w:space="0" w:color="000000"/>
            </w:tcBorders>
            <w:hideMark/>
          </w:tcPr>
          <w:p w14:paraId="4D8F6F96" w14:textId="77777777" w:rsidR="008F4036" w:rsidRPr="005D0316" w:rsidRDefault="008F4036" w:rsidP="00BB16BE">
            <w:pPr>
              <w:spacing w:line="240" w:lineRule="auto"/>
              <w:ind w:left="131" w:right="-139"/>
              <w:jc w:val="center"/>
              <w:rPr>
                <w:b/>
                <w:lang w:val="id-ID"/>
              </w:rPr>
            </w:pPr>
            <w:r w:rsidRPr="005D0316">
              <w:rPr>
                <w:b/>
                <w:lang w:val="id-ID"/>
              </w:rPr>
              <w:t>Judul Penelitian</w:t>
            </w:r>
          </w:p>
        </w:tc>
        <w:tc>
          <w:tcPr>
            <w:tcW w:w="1844" w:type="dxa"/>
            <w:tcBorders>
              <w:top w:val="single" w:sz="6" w:space="0" w:color="000000"/>
              <w:left w:val="single" w:sz="6" w:space="0" w:color="000000"/>
              <w:bottom w:val="single" w:sz="6" w:space="0" w:color="000000"/>
              <w:right w:val="single" w:sz="6" w:space="0" w:color="000000"/>
            </w:tcBorders>
            <w:hideMark/>
          </w:tcPr>
          <w:p w14:paraId="12B8A16A" w14:textId="77777777" w:rsidR="008F4036" w:rsidRPr="005D0316" w:rsidRDefault="008F4036" w:rsidP="00BB16BE">
            <w:pPr>
              <w:spacing w:line="240" w:lineRule="auto"/>
              <w:ind w:left="139"/>
              <w:jc w:val="center"/>
              <w:rPr>
                <w:b/>
                <w:lang w:val="id-ID"/>
              </w:rPr>
            </w:pPr>
            <w:r w:rsidRPr="005D0316">
              <w:rPr>
                <w:b/>
                <w:lang w:val="id-ID"/>
              </w:rPr>
              <w:t>Variabel Penelitian</w:t>
            </w:r>
          </w:p>
        </w:tc>
        <w:tc>
          <w:tcPr>
            <w:tcW w:w="2268" w:type="dxa"/>
            <w:tcBorders>
              <w:top w:val="single" w:sz="6" w:space="0" w:color="000000"/>
              <w:left w:val="single" w:sz="6" w:space="0" w:color="000000"/>
              <w:bottom w:val="single" w:sz="6" w:space="0" w:color="000000"/>
              <w:right w:val="single" w:sz="6" w:space="0" w:color="000000"/>
            </w:tcBorders>
            <w:hideMark/>
          </w:tcPr>
          <w:p w14:paraId="501523C4" w14:textId="77777777" w:rsidR="008F4036" w:rsidRPr="005D0316" w:rsidRDefault="008F4036" w:rsidP="00BB16BE">
            <w:pPr>
              <w:spacing w:line="240" w:lineRule="auto"/>
              <w:jc w:val="center"/>
              <w:rPr>
                <w:b/>
                <w:lang w:val="id-ID"/>
              </w:rPr>
            </w:pPr>
            <w:r w:rsidRPr="005D0316">
              <w:rPr>
                <w:b/>
                <w:lang w:val="id-ID"/>
              </w:rPr>
              <w:t>Hasil &amp; Temuan Utama</w:t>
            </w:r>
          </w:p>
        </w:tc>
      </w:tr>
      <w:tr w:rsidR="006B0292" w:rsidRPr="006B0292" w14:paraId="5404C73E" w14:textId="77777777" w:rsidTr="008F4036">
        <w:trPr>
          <w:trHeight w:val="5337"/>
        </w:trPr>
        <w:tc>
          <w:tcPr>
            <w:tcW w:w="426" w:type="dxa"/>
            <w:tcBorders>
              <w:top w:val="single" w:sz="6" w:space="0" w:color="000000"/>
              <w:left w:val="single" w:sz="6" w:space="0" w:color="000000"/>
              <w:bottom w:val="single" w:sz="6" w:space="0" w:color="000000"/>
              <w:right w:val="single" w:sz="6" w:space="0" w:color="000000"/>
            </w:tcBorders>
            <w:hideMark/>
          </w:tcPr>
          <w:p w14:paraId="0C3AE432" w14:textId="77777777" w:rsidR="006B0292" w:rsidRDefault="00EE3BC3" w:rsidP="00BB16BE">
            <w:pPr>
              <w:pStyle w:val="BodyText"/>
              <w:spacing w:line="240" w:lineRule="auto"/>
              <w:ind w:left="567"/>
              <w:rPr>
                <w:rFonts w:cs="Times New Roman"/>
                <w:lang w:val="en-US"/>
              </w:rPr>
            </w:pPr>
            <w:r>
              <w:rPr>
                <w:rFonts w:cs="Times New Roman"/>
                <w:lang w:val="en-US"/>
              </w:rPr>
              <w:t>33</w:t>
            </w:r>
            <w:r w:rsidR="006B0292" w:rsidRPr="006B0292">
              <w:rPr>
                <w:rFonts w:cs="Times New Roman"/>
                <w:lang w:val="en-US"/>
              </w:rPr>
              <w:t>3</w:t>
            </w:r>
          </w:p>
          <w:p w14:paraId="1FFF0583" w14:textId="77777777" w:rsidR="00EE3BC3" w:rsidRPr="00EE3BC3" w:rsidRDefault="00EE3BC3" w:rsidP="00BB16BE">
            <w:pPr>
              <w:spacing w:line="240" w:lineRule="auto"/>
              <w:rPr>
                <w:lang w:val="en-US"/>
              </w:rPr>
            </w:pPr>
          </w:p>
          <w:p w14:paraId="67297FE0" w14:textId="77777777" w:rsidR="00EE3BC3" w:rsidRDefault="00EE3BC3" w:rsidP="00BB16BE">
            <w:pPr>
              <w:spacing w:line="240" w:lineRule="auto"/>
              <w:rPr>
                <w:rFonts w:cs="Times New Roman"/>
                <w:szCs w:val="24"/>
                <w:lang w:val="en-US"/>
              </w:rPr>
            </w:pPr>
          </w:p>
          <w:p w14:paraId="44D7C6DF" w14:textId="24F5430A" w:rsidR="00EE3BC3" w:rsidRDefault="00EE3BC3" w:rsidP="00BB16BE">
            <w:pPr>
              <w:spacing w:line="240" w:lineRule="auto"/>
              <w:jc w:val="center"/>
              <w:rPr>
                <w:rFonts w:cs="Times New Roman"/>
                <w:szCs w:val="24"/>
                <w:lang w:val="en-US"/>
              </w:rPr>
            </w:pPr>
            <w:r>
              <w:rPr>
                <w:rFonts w:cs="Times New Roman"/>
                <w:szCs w:val="24"/>
                <w:lang w:val="en-US"/>
              </w:rPr>
              <w:t>3</w:t>
            </w:r>
          </w:p>
          <w:p w14:paraId="0AD6934F" w14:textId="3E1BA00C" w:rsidR="00EE3BC3" w:rsidRPr="00EE3BC3" w:rsidRDefault="00EE3BC3" w:rsidP="00BB16BE">
            <w:pPr>
              <w:spacing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hideMark/>
          </w:tcPr>
          <w:p w14:paraId="64DDE496" w14:textId="77777777" w:rsidR="006B0292" w:rsidRPr="006B0292" w:rsidRDefault="006B0292" w:rsidP="00BB16BE">
            <w:pPr>
              <w:pStyle w:val="BodyText"/>
              <w:spacing w:line="240" w:lineRule="auto"/>
              <w:ind w:left="145" w:right="128" w:hanging="4"/>
              <w:jc w:val="left"/>
              <w:rPr>
                <w:rFonts w:cs="Times New Roman"/>
                <w:lang w:val="en-US"/>
              </w:rPr>
            </w:pPr>
            <w:r w:rsidRPr="006B0292">
              <w:rPr>
                <w:rFonts w:cs="Times New Roman"/>
                <w:lang w:val="en-US"/>
              </w:rPr>
              <w:t>Noviyanti &amp; Priyawan (2025)</w:t>
            </w:r>
          </w:p>
        </w:tc>
        <w:tc>
          <w:tcPr>
            <w:tcW w:w="2267" w:type="dxa"/>
            <w:tcBorders>
              <w:top w:val="single" w:sz="6" w:space="0" w:color="000000"/>
              <w:left w:val="single" w:sz="6" w:space="0" w:color="000000"/>
              <w:bottom w:val="single" w:sz="6" w:space="0" w:color="000000"/>
              <w:right w:val="single" w:sz="6" w:space="0" w:color="000000"/>
            </w:tcBorders>
            <w:hideMark/>
          </w:tcPr>
          <w:p w14:paraId="2F9732BF" w14:textId="77777777" w:rsidR="006B0292" w:rsidRPr="006B0292" w:rsidRDefault="006B0292" w:rsidP="00BB16BE">
            <w:pPr>
              <w:pStyle w:val="BodyText"/>
              <w:spacing w:line="240" w:lineRule="auto"/>
              <w:ind w:left="131" w:right="0"/>
              <w:jc w:val="left"/>
              <w:rPr>
                <w:rFonts w:cs="Times New Roman"/>
                <w:lang w:val="en-US"/>
              </w:rPr>
            </w:pPr>
            <w:r w:rsidRPr="006B0292">
              <w:rPr>
                <w:rFonts w:cs="Times New Roman"/>
                <w:lang w:val="en-US"/>
              </w:rPr>
              <w:t xml:space="preserve">Pengaruh </w:t>
            </w:r>
            <w:r w:rsidRPr="006B0292">
              <w:rPr>
                <w:rFonts w:cs="Times New Roman"/>
                <w:i/>
                <w:iCs/>
                <w:lang w:val="en-US"/>
              </w:rPr>
              <w:t xml:space="preserve">Green Accounting, </w:t>
            </w:r>
            <w:r w:rsidRPr="006B0292">
              <w:rPr>
                <w:rFonts w:cs="Times New Roman"/>
                <w:lang w:val="en-US"/>
              </w:rPr>
              <w:t xml:space="preserve">Kinerja Lingkungan dan </w:t>
            </w:r>
            <w:r w:rsidRPr="006B0292">
              <w:rPr>
                <w:rFonts w:cs="Times New Roman"/>
                <w:i/>
                <w:iCs/>
                <w:lang w:val="en-US"/>
              </w:rPr>
              <w:t xml:space="preserve">Corporate Social Responsibility </w:t>
            </w:r>
            <w:r w:rsidRPr="006B0292">
              <w:rPr>
                <w:rFonts w:cs="Times New Roman"/>
                <w:lang w:val="en-US"/>
              </w:rPr>
              <w:t>terhadap Nilai Perusahaan pada Perusahaan Manufaktur Sektor Industri Dasar dan Kimia yang Terdaftar di Bursa Efek Indonesia</w:t>
            </w:r>
          </w:p>
        </w:tc>
        <w:tc>
          <w:tcPr>
            <w:tcW w:w="1844" w:type="dxa"/>
            <w:tcBorders>
              <w:top w:val="single" w:sz="6" w:space="0" w:color="000000"/>
              <w:left w:val="single" w:sz="6" w:space="0" w:color="000000"/>
              <w:bottom w:val="single" w:sz="6" w:space="0" w:color="000000"/>
              <w:right w:val="single" w:sz="6" w:space="0" w:color="000000"/>
            </w:tcBorders>
            <w:hideMark/>
          </w:tcPr>
          <w:p w14:paraId="5682A493"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i/>
                <w:iCs/>
                <w:lang w:val="en-US"/>
              </w:rPr>
              <w:t>Green Accounting</w:t>
            </w:r>
          </w:p>
          <w:p w14:paraId="6CF07769"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lang w:val="en-US"/>
              </w:rPr>
              <w:t xml:space="preserve">Kinerja Lingkungan </w:t>
            </w:r>
          </w:p>
          <w:p w14:paraId="6021F971"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i/>
                <w:iCs/>
                <w:lang w:val="en-US"/>
              </w:rPr>
              <w:t xml:space="preserve">Corporate Social Responsibility </w:t>
            </w:r>
            <w:r w:rsidRPr="006B0292">
              <w:rPr>
                <w:rFonts w:cs="Times New Roman"/>
                <w:lang w:val="en-US"/>
              </w:rPr>
              <w:t>(CSR)</w:t>
            </w:r>
          </w:p>
          <w:p w14:paraId="126B5F76"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lang w:val="en-US"/>
              </w:rPr>
              <w:t>Nilai Perusahaan (Tobin’s Q &amp; PBV)</w:t>
            </w:r>
          </w:p>
        </w:tc>
        <w:tc>
          <w:tcPr>
            <w:tcW w:w="2268" w:type="dxa"/>
            <w:tcBorders>
              <w:top w:val="single" w:sz="6" w:space="0" w:color="000000"/>
              <w:left w:val="single" w:sz="6" w:space="0" w:color="000000"/>
              <w:bottom w:val="single" w:sz="6" w:space="0" w:color="000000"/>
              <w:right w:val="single" w:sz="6" w:space="0" w:color="000000"/>
            </w:tcBorders>
            <w:hideMark/>
          </w:tcPr>
          <w:p w14:paraId="77C17725" w14:textId="547DBFE6" w:rsidR="006B0292" w:rsidRPr="006B0292" w:rsidRDefault="006B0292" w:rsidP="00BB16BE">
            <w:pPr>
              <w:pStyle w:val="BodyText"/>
              <w:spacing w:line="240" w:lineRule="auto"/>
              <w:ind w:left="144"/>
              <w:jc w:val="left"/>
              <w:rPr>
                <w:rFonts w:cs="Times New Roman"/>
                <w:lang w:val="en-ID"/>
              </w:rPr>
            </w:pPr>
            <w:r w:rsidRPr="006B0292">
              <w:rPr>
                <w:rFonts w:cs="Times New Roman"/>
                <w:i/>
                <w:iCs/>
                <w:lang w:val="en-ID"/>
              </w:rPr>
              <w:t>Green Accounting</w:t>
            </w:r>
            <w:r w:rsidRPr="006B0292">
              <w:rPr>
                <w:rFonts w:cs="Times New Roman"/>
                <w:lang w:val="en-ID"/>
              </w:rPr>
              <w:t xml:space="preserve"> berpengaruh positif dan signifikan terhadap nilai perusahaan.</w:t>
            </w:r>
            <w:r w:rsidR="008F4036">
              <w:rPr>
                <w:rFonts w:cs="Times New Roman"/>
                <w:lang w:val="en-ID"/>
              </w:rPr>
              <w:t xml:space="preserve"> </w:t>
            </w:r>
            <w:r w:rsidRPr="006B0292">
              <w:rPr>
                <w:rFonts w:cs="Times New Roman"/>
                <w:lang w:val="en-ID"/>
              </w:rPr>
              <w:t>Kinerja Lingkungan tidak berpengaruh signifikan terhadap nilai perusahaan.</w:t>
            </w:r>
            <w:r w:rsidR="008F4036">
              <w:rPr>
                <w:rFonts w:cs="Times New Roman"/>
                <w:lang w:val="en-ID"/>
              </w:rPr>
              <w:t xml:space="preserve"> </w:t>
            </w:r>
            <w:r w:rsidRPr="006B0292">
              <w:rPr>
                <w:rFonts w:cs="Times New Roman"/>
                <w:lang w:val="en-ID"/>
              </w:rPr>
              <w:t>CSR berpengaruh positif dan signifikan terhadap nilai perusahaan.</w:t>
            </w:r>
            <w:r w:rsidR="008F4036">
              <w:rPr>
                <w:rFonts w:cs="Times New Roman"/>
                <w:lang w:val="en-ID"/>
              </w:rPr>
              <w:t xml:space="preserve"> </w:t>
            </w:r>
            <w:r w:rsidRPr="006B0292">
              <w:rPr>
                <w:rFonts w:cs="Times New Roman"/>
                <w:lang w:val="en-ID"/>
              </w:rPr>
              <w:t>Secara simultan, ketiga variabel tidak berpengaruh signifikan terhadap nilai perusahaan.</w:t>
            </w:r>
          </w:p>
        </w:tc>
      </w:tr>
      <w:tr w:rsidR="006B0292" w:rsidRPr="006B0292" w14:paraId="4EB3E56B" w14:textId="77777777" w:rsidTr="00361802">
        <w:trPr>
          <w:trHeight w:val="836"/>
        </w:trPr>
        <w:tc>
          <w:tcPr>
            <w:tcW w:w="426" w:type="dxa"/>
            <w:tcBorders>
              <w:top w:val="single" w:sz="6" w:space="0" w:color="000000"/>
              <w:left w:val="single" w:sz="6" w:space="0" w:color="000000"/>
              <w:bottom w:val="single" w:sz="6" w:space="0" w:color="000000"/>
              <w:right w:val="single" w:sz="6" w:space="0" w:color="000000"/>
            </w:tcBorders>
            <w:hideMark/>
          </w:tcPr>
          <w:p w14:paraId="0A23E03E" w14:textId="59F0A68A" w:rsidR="00361802" w:rsidRDefault="006B0292" w:rsidP="00BB16BE">
            <w:pPr>
              <w:pStyle w:val="BodyText"/>
              <w:spacing w:line="240" w:lineRule="auto"/>
              <w:ind w:left="567"/>
              <w:rPr>
                <w:rFonts w:cs="Times New Roman"/>
                <w:lang w:val="en-US"/>
              </w:rPr>
            </w:pPr>
            <w:r w:rsidRPr="006B0292">
              <w:rPr>
                <w:rFonts w:cs="Times New Roman"/>
                <w:lang w:val="en-US"/>
              </w:rPr>
              <w:lastRenderedPageBreak/>
              <w:t>4</w:t>
            </w:r>
          </w:p>
          <w:p w14:paraId="4AB66B5A" w14:textId="1EF3C46C" w:rsidR="00361802" w:rsidRPr="006B0292" w:rsidRDefault="00EE3BC3" w:rsidP="00BB16BE">
            <w:pPr>
              <w:spacing w:line="240" w:lineRule="auto"/>
              <w:jc w:val="center"/>
              <w:rPr>
                <w:lang w:val="en-US"/>
              </w:rPr>
            </w:pPr>
            <w:r>
              <w:rPr>
                <w:lang w:val="en-US"/>
              </w:rPr>
              <w:t>4</w:t>
            </w:r>
          </w:p>
        </w:tc>
        <w:tc>
          <w:tcPr>
            <w:tcW w:w="1275" w:type="dxa"/>
            <w:tcBorders>
              <w:top w:val="single" w:sz="6" w:space="0" w:color="000000"/>
              <w:left w:val="single" w:sz="6" w:space="0" w:color="000000"/>
              <w:bottom w:val="single" w:sz="6" w:space="0" w:color="000000"/>
              <w:right w:val="single" w:sz="6" w:space="0" w:color="000000"/>
            </w:tcBorders>
            <w:hideMark/>
          </w:tcPr>
          <w:p w14:paraId="53412F64" w14:textId="77777777" w:rsidR="006B0292" w:rsidRPr="006B0292" w:rsidRDefault="006B0292" w:rsidP="00BB16BE">
            <w:pPr>
              <w:pStyle w:val="BodyText"/>
              <w:spacing w:line="240" w:lineRule="auto"/>
              <w:ind w:left="145" w:right="128" w:hanging="4"/>
              <w:jc w:val="left"/>
              <w:rPr>
                <w:rFonts w:cs="Times New Roman"/>
                <w:lang w:val="en-US"/>
              </w:rPr>
            </w:pPr>
            <w:r w:rsidRPr="006B0292">
              <w:rPr>
                <w:rFonts w:cs="Times New Roman"/>
                <w:lang w:val="en-US"/>
              </w:rPr>
              <w:t>Danendratama &amp; Dharma (2025)</w:t>
            </w:r>
          </w:p>
        </w:tc>
        <w:tc>
          <w:tcPr>
            <w:tcW w:w="2267" w:type="dxa"/>
            <w:tcBorders>
              <w:top w:val="single" w:sz="6" w:space="0" w:color="000000"/>
              <w:left w:val="single" w:sz="6" w:space="0" w:color="000000"/>
              <w:bottom w:val="single" w:sz="6" w:space="0" w:color="000000"/>
              <w:right w:val="single" w:sz="6" w:space="0" w:color="000000"/>
            </w:tcBorders>
            <w:hideMark/>
          </w:tcPr>
          <w:p w14:paraId="06C3E50D" w14:textId="77777777" w:rsidR="006B0292" w:rsidRPr="006B0292" w:rsidRDefault="006B0292" w:rsidP="00BB16BE">
            <w:pPr>
              <w:pStyle w:val="BodyText"/>
              <w:spacing w:line="240" w:lineRule="auto"/>
              <w:ind w:left="131" w:right="13"/>
              <w:jc w:val="left"/>
              <w:rPr>
                <w:rFonts w:cs="Times New Roman"/>
                <w:lang w:val="en-US"/>
              </w:rPr>
            </w:pPr>
            <w:r w:rsidRPr="006B0292">
              <w:rPr>
                <w:rFonts w:cs="Times New Roman"/>
                <w:lang w:val="en-US"/>
              </w:rPr>
              <w:t>Pengaruh Kepemilikan Manajerial, Kepemilikan Institusional, Proporsi Dewan Komisaris Independen, Pengaruh Kinerja Keuangan</w:t>
            </w:r>
          </w:p>
        </w:tc>
        <w:tc>
          <w:tcPr>
            <w:tcW w:w="1844" w:type="dxa"/>
            <w:tcBorders>
              <w:top w:val="single" w:sz="6" w:space="0" w:color="000000"/>
              <w:left w:val="single" w:sz="6" w:space="0" w:color="000000"/>
              <w:bottom w:val="single" w:sz="6" w:space="0" w:color="000000"/>
              <w:right w:val="single" w:sz="6" w:space="0" w:color="000000"/>
            </w:tcBorders>
            <w:hideMark/>
          </w:tcPr>
          <w:p w14:paraId="2436CF68" w14:textId="77777777" w:rsidR="006B0292" w:rsidRPr="006B0292" w:rsidRDefault="006B0292" w:rsidP="00BB16BE">
            <w:pPr>
              <w:pStyle w:val="BodyText"/>
              <w:numPr>
                <w:ilvl w:val="0"/>
                <w:numId w:val="3"/>
              </w:numPr>
              <w:spacing w:line="240" w:lineRule="auto"/>
              <w:ind w:left="139"/>
              <w:jc w:val="left"/>
              <w:rPr>
                <w:rFonts w:cs="Times New Roman"/>
                <w:lang w:val="en-US"/>
              </w:rPr>
            </w:pPr>
            <w:r w:rsidRPr="006B0292">
              <w:rPr>
                <w:rFonts w:cs="Times New Roman"/>
                <w:lang w:val="en-US"/>
              </w:rPr>
              <w:t>Kepemilikan Manajerial</w:t>
            </w:r>
          </w:p>
          <w:p w14:paraId="65BF9EA6" w14:textId="77777777" w:rsidR="006B0292" w:rsidRPr="006B0292" w:rsidRDefault="006B0292" w:rsidP="00BB16BE">
            <w:pPr>
              <w:pStyle w:val="BodyText"/>
              <w:numPr>
                <w:ilvl w:val="0"/>
                <w:numId w:val="3"/>
              </w:numPr>
              <w:spacing w:line="240" w:lineRule="auto"/>
              <w:ind w:left="139"/>
              <w:jc w:val="left"/>
              <w:rPr>
                <w:rFonts w:cs="Times New Roman"/>
                <w:lang w:val="en-US"/>
              </w:rPr>
            </w:pPr>
            <w:r w:rsidRPr="006B0292">
              <w:rPr>
                <w:rFonts w:cs="Times New Roman"/>
                <w:lang w:val="en-US"/>
              </w:rPr>
              <w:t>Kepemilikan Institusional</w:t>
            </w:r>
          </w:p>
          <w:p w14:paraId="0336264B" w14:textId="77777777" w:rsidR="006B0292" w:rsidRPr="006B0292" w:rsidRDefault="006B0292" w:rsidP="00BB16BE">
            <w:pPr>
              <w:pStyle w:val="BodyText"/>
              <w:numPr>
                <w:ilvl w:val="0"/>
                <w:numId w:val="3"/>
              </w:numPr>
              <w:spacing w:line="240" w:lineRule="auto"/>
              <w:ind w:left="139"/>
              <w:jc w:val="left"/>
              <w:rPr>
                <w:rFonts w:cs="Times New Roman"/>
                <w:lang w:val="en-US"/>
              </w:rPr>
            </w:pPr>
            <w:r w:rsidRPr="006B0292">
              <w:rPr>
                <w:rFonts w:cs="Times New Roman"/>
                <w:lang w:val="en-US"/>
              </w:rPr>
              <w:t>Proporsi Dewan Komisaris Independen</w:t>
            </w:r>
          </w:p>
          <w:p w14:paraId="4F67B282"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lang w:val="en-US"/>
              </w:rPr>
              <w:t>Ukuran Perusahaan</w:t>
            </w:r>
          </w:p>
          <w:p w14:paraId="583805F6"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lang w:val="en-US"/>
              </w:rPr>
              <w:t>Kinerja Keuangan (ROA)</w:t>
            </w:r>
          </w:p>
        </w:tc>
        <w:tc>
          <w:tcPr>
            <w:tcW w:w="2268" w:type="dxa"/>
            <w:tcBorders>
              <w:top w:val="single" w:sz="6" w:space="0" w:color="000000"/>
              <w:left w:val="single" w:sz="6" w:space="0" w:color="000000"/>
              <w:bottom w:val="single" w:sz="6" w:space="0" w:color="000000"/>
              <w:right w:val="single" w:sz="6" w:space="0" w:color="000000"/>
            </w:tcBorders>
            <w:hideMark/>
          </w:tcPr>
          <w:p w14:paraId="436B4E05" w14:textId="5E001317" w:rsidR="006B0292" w:rsidRPr="006B0292" w:rsidRDefault="006B0292" w:rsidP="00BB16BE">
            <w:pPr>
              <w:pStyle w:val="BodyText"/>
              <w:spacing w:line="240" w:lineRule="auto"/>
              <w:ind w:left="144"/>
              <w:jc w:val="left"/>
              <w:rPr>
                <w:rFonts w:cs="Times New Roman"/>
                <w:lang w:val="en-ID"/>
              </w:rPr>
            </w:pPr>
            <w:r w:rsidRPr="006B0292">
              <w:rPr>
                <w:rFonts w:cs="Times New Roman"/>
                <w:lang w:val="en-ID"/>
              </w:rPr>
              <w:t>Kepemilikan manajerial berpengaruh positif dan signifikan terhadap kinerja keuangan.</w:t>
            </w:r>
            <w:r w:rsidR="008F4036">
              <w:rPr>
                <w:rFonts w:cs="Times New Roman"/>
                <w:lang w:val="en-ID"/>
              </w:rPr>
              <w:t xml:space="preserve"> </w:t>
            </w:r>
            <w:r w:rsidRPr="006B0292">
              <w:rPr>
                <w:rFonts w:cs="Times New Roman"/>
                <w:lang w:val="en-ID"/>
              </w:rPr>
              <w:t>Kepemilikan institusional berpengaruh positif dan signifikan terhadap kinerja keuangan.</w:t>
            </w:r>
            <w:r w:rsidR="008F4036">
              <w:rPr>
                <w:rFonts w:cs="Times New Roman"/>
                <w:lang w:val="en-ID"/>
              </w:rPr>
              <w:t xml:space="preserve"> </w:t>
            </w:r>
            <w:r w:rsidRPr="006B0292">
              <w:rPr>
                <w:rFonts w:cs="Times New Roman"/>
                <w:lang w:val="en-ID"/>
              </w:rPr>
              <w:t>Proporsi dewan komisaris independen tidak berpengaruh signifikan terhadap kinerja keuangan.</w:t>
            </w:r>
          </w:p>
          <w:p w14:paraId="069CF6C7" w14:textId="77777777" w:rsidR="006B0292" w:rsidRPr="006B0292" w:rsidRDefault="006B0292" w:rsidP="00BB16BE">
            <w:pPr>
              <w:pStyle w:val="BodyText"/>
              <w:spacing w:line="240" w:lineRule="auto"/>
              <w:ind w:left="144"/>
              <w:jc w:val="left"/>
              <w:rPr>
                <w:rFonts w:cs="Times New Roman"/>
                <w:lang w:val="en-ID"/>
              </w:rPr>
            </w:pPr>
            <w:r w:rsidRPr="006B0292">
              <w:rPr>
                <w:rFonts w:cs="Times New Roman"/>
                <w:lang w:val="en-ID"/>
              </w:rPr>
              <w:t>Ukuran perusahaan (variabel kontrol) berpengaruh positif dan signifikan terhadap kinerja keuangan</w:t>
            </w:r>
          </w:p>
        </w:tc>
      </w:tr>
      <w:tr w:rsidR="008F4036" w:rsidRPr="005D0316" w14:paraId="55A27544" w14:textId="77777777" w:rsidTr="00383280">
        <w:trPr>
          <w:trHeight w:val="666"/>
        </w:trPr>
        <w:tc>
          <w:tcPr>
            <w:tcW w:w="426" w:type="dxa"/>
            <w:tcBorders>
              <w:top w:val="single" w:sz="6" w:space="0" w:color="000000"/>
              <w:left w:val="single" w:sz="6" w:space="0" w:color="000000"/>
              <w:bottom w:val="single" w:sz="6" w:space="0" w:color="000000"/>
              <w:right w:val="single" w:sz="6" w:space="0" w:color="000000"/>
            </w:tcBorders>
            <w:hideMark/>
          </w:tcPr>
          <w:p w14:paraId="54FABB0A" w14:textId="77777777" w:rsidR="008F4036" w:rsidRPr="005D0316" w:rsidRDefault="008F4036" w:rsidP="00BB16BE">
            <w:pPr>
              <w:pStyle w:val="BodyText"/>
              <w:spacing w:line="240" w:lineRule="auto"/>
              <w:ind w:left="567"/>
              <w:rPr>
                <w:rFonts w:cs="Times New Roman"/>
                <w:b/>
                <w:lang w:val="id-ID"/>
              </w:rPr>
            </w:pPr>
            <w:r w:rsidRPr="005D0316">
              <w:rPr>
                <w:rFonts w:cs="Times New Roman"/>
                <w:b/>
                <w:lang w:val="id-ID"/>
              </w:rPr>
              <w:t>No</w:t>
            </w:r>
          </w:p>
        </w:tc>
        <w:tc>
          <w:tcPr>
            <w:tcW w:w="1275" w:type="dxa"/>
            <w:tcBorders>
              <w:top w:val="single" w:sz="6" w:space="0" w:color="000000"/>
              <w:left w:val="single" w:sz="6" w:space="0" w:color="000000"/>
              <w:bottom w:val="single" w:sz="6" w:space="0" w:color="000000"/>
              <w:right w:val="single" w:sz="6" w:space="0" w:color="000000"/>
            </w:tcBorders>
            <w:hideMark/>
          </w:tcPr>
          <w:p w14:paraId="31E6404E" w14:textId="77777777" w:rsidR="008F4036" w:rsidRPr="005D0316" w:rsidRDefault="008F4036" w:rsidP="00BB16BE">
            <w:pPr>
              <w:spacing w:line="240" w:lineRule="auto"/>
              <w:ind w:left="145" w:right="128" w:hanging="4"/>
              <w:jc w:val="center"/>
              <w:rPr>
                <w:b/>
                <w:lang w:val="id-ID"/>
              </w:rPr>
            </w:pPr>
            <w:r w:rsidRPr="005D0316">
              <w:rPr>
                <w:b/>
                <w:lang w:val="id-ID"/>
              </w:rPr>
              <w:t>Peneliti &amp; Tahun</w:t>
            </w:r>
          </w:p>
        </w:tc>
        <w:tc>
          <w:tcPr>
            <w:tcW w:w="2267" w:type="dxa"/>
            <w:tcBorders>
              <w:top w:val="single" w:sz="6" w:space="0" w:color="000000"/>
              <w:left w:val="single" w:sz="6" w:space="0" w:color="000000"/>
              <w:bottom w:val="single" w:sz="6" w:space="0" w:color="000000"/>
              <w:right w:val="single" w:sz="6" w:space="0" w:color="000000"/>
            </w:tcBorders>
            <w:hideMark/>
          </w:tcPr>
          <w:p w14:paraId="693DC9B9" w14:textId="77777777" w:rsidR="008F4036" w:rsidRPr="005D0316" w:rsidRDefault="008F4036" w:rsidP="00BB16BE">
            <w:pPr>
              <w:spacing w:line="240" w:lineRule="auto"/>
              <w:ind w:left="131" w:right="-139"/>
              <w:jc w:val="center"/>
              <w:rPr>
                <w:b/>
                <w:lang w:val="id-ID"/>
              </w:rPr>
            </w:pPr>
            <w:r w:rsidRPr="005D0316">
              <w:rPr>
                <w:b/>
                <w:lang w:val="id-ID"/>
              </w:rPr>
              <w:t>Judul Penelitian</w:t>
            </w:r>
          </w:p>
        </w:tc>
        <w:tc>
          <w:tcPr>
            <w:tcW w:w="1844" w:type="dxa"/>
            <w:tcBorders>
              <w:top w:val="single" w:sz="6" w:space="0" w:color="000000"/>
              <w:left w:val="single" w:sz="6" w:space="0" w:color="000000"/>
              <w:bottom w:val="single" w:sz="6" w:space="0" w:color="000000"/>
              <w:right w:val="single" w:sz="6" w:space="0" w:color="000000"/>
            </w:tcBorders>
            <w:hideMark/>
          </w:tcPr>
          <w:p w14:paraId="0270B2CD" w14:textId="77777777" w:rsidR="008F4036" w:rsidRPr="005D0316" w:rsidRDefault="008F4036" w:rsidP="00BB16BE">
            <w:pPr>
              <w:spacing w:line="240" w:lineRule="auto"/>
              <w:ind w:left="139"/>
              <w:jc w:val="center"/>
              <w:rPr>
                <w:b/>
                <w:lang w:val="id-ID"/>
              </w:rPr>
            </w:pPr>
            <w:r w:rsidRPr="005D0316">
              <w:rPr>
                <w:b/>
                <w:lang w:val="id-ID"/>
              </w:rPr>
              <w:t>Variabel Penelitian</w:t>
            </w:r>
          </w:p>
        </w:tc>
        <w:tc>
          <w:tcPr>
            <w:tcW w:w="2268" w:type="dxa"/>
            <w:tcBorders>
              <w:top w:val="single" w:sz="6" w:space="0" w:color="000000"/>
              <w:left w:val="single" w:sz="6" w:space="0" w:color="000000"/>
              <w:bottom w:val="single" w:sz="6" w:space="0" w:color="000000"/>
              <w:right w:val="single" w:sz="6" w:space="0" w:color="000000"/>
            </w:tcBorders>
            <w:hideMark/>
          </w:tcPr>
          <w:p w14:paraId="388807DD" w14:textId="77777777" w:rsidR="008F4036" w:rsidRPr="005D0316" w:rsidRDefault="008F4036" w:rsidP="00BB16BE">
            <w:pPr>
              <w:spacing w:line="240" w:lineRule="auto"/>
              <w:jc w:val="center"/>
              <w:rPr>
                <w:b/>
                <w:lang w:val="id-ID"/>
              </w:rPr>
            </w:pPr>
            <w:r w:rsidRPr="005D0316">
              <w:rPr>
                <w:b/>
                <w:lang w:val="id-ID"/>
              </w:rPr>
              <w:t>Hasil &amp; Temuan Utama</w:t>
            </w:r>
          </w:p>
        </w:tc>
      </w:tr>
      <w:tr w:rsidR="006B0292" w:rsidRPr="006B0292" w14:paraId="221EAC50" w14:textId="77777777" w:rsidTr="00361802">
        <w:trPr>
          <w:trHeight w:val="836"/>
        </w:trPr>
        <w:tc>
          <w:tcPr>
            <w:tcW w:w="426" w:type="dxa"/>
            <w:tcBorders>
              <w:top w:val="single" w:sz="6" w:space="0" w:color="000000"/>
              <w:left w:val="single" w:sz="6" w:space="0" w:color="000000"/>
              <w:bottom w:val="single" w:sz="6" w:space="0" w:color="000000"/>
              <w:right w:val="single" w:sz="6" w:space="0" w:color="000000"/>
            </w:tcBorders>
            <w:hideMark/>
          </w:tcPr>
          <w:p w14:paraId="4E2F6B5F" w14:textId="77777777" w:rsidR="006B0292" w:rsidRDefault="006B0292" w:rsidP="00BB16BE">
            <w:pPr>
              <w:pStyle w:val="BodyText"/>
              <w:spacing w:line="240" w:lineRule="auto"/>
              <w:ind w:left="567"/>
              <w:rPr>
                <w:rFonts w:cs="Times New Roman"/>
                <w:lang w:val="en-US"/>
              </w:rPr>
            </w:pPr>
            <w:r w:rsidRPr="006B0292">
              <w:rPr>
                <w:rFonts w:cs="Times New Roman"/>
                <w:lang w:val="en-US"/>
              </w:rPr>
              <w:t>5</w:t>
            </w:r>
          </w:p>
          <w:p w14:paraId="370725FC" w14:textId="77777777" w:rsidR="00361802" w:rsidRPr="00361802" w:rsidRDefault="00361802" w:rsidP="00BB16BE">
            <w:pPr>
              <w:spacing w:line="240" w:lineRule="auto"/>
              <w:rPr>
                <w:lang w:val="en-US"/>
              </w:rPr>
            </w:pPr>
          </w:p>
          <w:p w14:paraId="1380973F" w14:textId="77777777" w:rsidR="00361802" w:rsidRDefault="00361802" w:rsidP="00BB16BE">
            <w:pPr>
              <w:spacing w:line="240" w:lineRule="auto"/>
              <w:rPr>
                <w:rFonts w:cs="Times New Roman"/>
                <w:szCs w:val="24"/>
                <w:lang w:val="en-US"/>
              </w:rPr>
            </w:pPr>
          </w:p>
          <w:p w14:paraId="256AD363" w14:textId="43F12040" w:rsidR="00361802" w:rsidRDefault="00EE3BC3" w:rsidP="00BB16BE">
            <w:pPr>
              <w:spacing w:line="240" w:lineRule="auto"/>
              <w:jc w:val="center"/>
              <w:rPr>
                <w:rFonts w:cs="Times New Roman"/>
                <w:szCs w:val="24"/>
                <w:lang w:val="en-US"/>
              </w:rPr>
            </w:pPr>
            <w:r>
              <w:rPr>
                <w:rFonts w:cs="Times New Roman"/>
                <w:szCs w:val="24"/>
                <w:lang w:val="en-US"/>
              </w:rPr>
              <w:t>5</w:t>
            </w:r>
          </w:p>
          <w:p w14:paraId="66750B64" w14:textId="47370941" w:rsidR="00361802" w:rsidRPr="006B0292" w:rsidRDefault="00361802" w:rsidP="00BB16BE">
            <w:pPr>
              <w:spacing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hideMark/>
          </w:tcPr>
          <w:p w14:paraId="3342ED25" w14:textId="77777777" w:rsidR="006B0292" w:rsidRPr="006B0292" w:rsidRDefault="006B0292" w:rsidP="00BB16BE">
            <w:pPr>
              <w:pStyle w:val="BodyText"/>
              <w:spacing w:line="240" w:lineRule="auto"/>
              <w:ind w:left="145" w:right="128" w:hanging="4"/>
              <w:jc w:val="left"/>
              <w:rPr>
                <w:rFonts w:cs="Times New Roman"/>
                <w:lang w:val="en-US"/>
              </w:rPr>
            </w:pPr>
            <w:r w:rsidRPr="006B0292">
              <w:rPr>
                <w:rFonts w:cs="Times New Roman"/>
                <w:lang w:val="en-US"/>
              </w:rPr>
              <w:t>Sari, Kresnandra, &amp; Sujana (2025)</w:t>
            </w:r>
          </w:p>
        </w:tc>
        <w:tc>
          <w:tcPr>
            <w:tcW w:w="2267" w:type="dxa"/>
            <w:tcBorders>
              <w:top w:val="single" w:sz="6" w:space="0" w:color="000000"/>
              <w:left w:val="single" w:sz="6" w:space="0" w:color="000000"/>
              <w:bottom w:val="single" w:sz="6" w:space="0" w:color="000000"/>
              <w:right w:val="single" w:sz="6" w:space="0" w:color="000000"/>
            </w:tcBorders>
            <w:hideMark/>
          </w:tcPr>
          <w:p w14:paraId="29907AE9" w14:textId="77777777" w:rsidR="006B0292" w:rsidRPr="006B0292" w:rsidRDefault="006B0292" w:rsidP="00BB16BE">
            <w:pPr>
              <w:pStyle w:val="BodyText"/>
              <w:spacing w:line="240" w:lineRule="auto"/>
              <w:ind w:left="131" w:right="-139"/>
              <w:jc w:val="left"/>
              <w:rPr>
                <w:rFonts w:cs="Times New Roman"/>
                <w:i/>
                <w:iCs/>
                <w:lang w:val="en-US"/>
              </w:rPr>
            </w:pPr>
            <w:r w:rsidRPr="006B0292">
              <w:rPr>
                <w:rFonts w:cs="Times New Roman"/>
                <w:i/>
                <w:iCs/>
                <w:lang w:val="en-US"/>
              </w:rPr>
              <w:t>Institional Ownership as a Moderator in the Relationship Between Enterprise Risk Management, Profitability, and Firm Value</w:t>
            </w:r>
          </w:p>
        </w:tc>
        <w:tc>
          <w:tcPr>
            <w:tcW w:w="1844" w:type="dxa"/>
            <w:tcBorders>
              <w:top w:val="single" w:sz="6" w:space="0" w:color="000000"/>
              <w:left w:val="single" w:sz="6" w:space="0" w:color="000000"/>
              <w:bottom w:val="single" w:sz="6" w:space="0" w:color="000000"/>
              <w:right w:val="single" w:sz="6" w:space="0" w:color="000000"/>
            </w:tcBorders>
            <w:hideMark/>
          </w:tcPr>
          <w:p w14:paraId="26C807A6"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lang w:val="en-US"/>
              </w:rPr>
              <w:t xml:space="preserve">ERM </w:t>
            </w:r>
          </w:p>
          <w:p w14:paraId="62DA3E53"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lang w:val="en-US"/>
              </w:rPr>
              <w:t>Profitabilitas (ROA)</w:t>
            </w:r>
          </w:p>
          <w:p w14:paraId="6995D9E1"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lang w:val="en-US"/>
              </w:rPr>
              <w:t>Nilai Perusahaan (Tobin’s Q)</w:t>
            </w:r>
          </w:p>
          <w:p w14:paraId="34D483E0"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lang w:val="en-US"/>
              </w:rPr>
              <w:t>Kepemilikan Institusional</w:t>
            </w:r>
          </w:p>
        </w:tc>
        <w:tc>
          <w:tcPr>
            <w:tcW w:w="2268" w:type="dxa"/>
            <w:tcBorders>
              <w:top w:val="single" w:sz="6" w:space="0" w:color="000000"/>
              <w:left w:val="single" w:sz="6" w:space="0" w:color="000000"/>
              <w:bottom w:val="single" w:sz="6" w:space="0" w:color="000000"/>
              <w:right w:val="single" w:sz="6" w:space="0" w:color="000000"/>
            </w:tcBorders>
            <w:hideMark/>
          </w:tcPr>
          <w:p w14:paraId="7A4C1653" w14:textId="768D096B" w:rsidR="006B0292" w:rsidRPr="006B0292" w:rsidRDefault="006B0292" w:rsidP="00BB16BE">
            <w:pPr>
              <w:pStyle w:val="BodyText"/>
              <w:spacing w:line="240" w:lineRule="auto"/>
              <w:ind w:left="144"/>
              <w:jc w:val="left"/>
              <w:rPr>
                <w:rFonts w:cs="Times New Roman"/>
                <w:lang w:val="en-ID"/>
              </w:rPr>
            </w:pPr>
            <w:r w:rsidRPr="006B0292">
              <w:rPr>
                <w:rFonts w:cs="Times New Roman"/>
                <w:lang w:val="en-ID"/>
              </w:rPr>
              <w:t>ERM berpengaruh positif signifikan terhadap nilai perusahaan.</w:t>
            </w:r>
            <w:r w:rsidR="008F4036">
              <w:rPr>
                <w:rFonts w:cs="Times New Roman"/>
                <w:lang w:val="en-ID"/>
              </w:rPr>
              <w:t xml:space="preserve"> </w:t>
            </w:r>
            <w:r w:rsidRPr="006B0292">
              <w:rPr>
                <w:rFonts w:cs="Times New Roman"/>
                <w:lang w:val="en-ID"/>
              </w:rPr>
              <w:t>Profitabilitas berpengaruh positif signifikan terhadap nilai perusahaan.</w:t>
            </w:r>
          </w:p>
          <w:p w14:paraId="532A8AE1" w14:textId="13240510" w:rsidR="006B0292" w:rsidRPr="006B0292" w:rsidRDefault="006B0292" w:rsidP="00BB16BE">
            <w:pPr>
              <w:pStyle w:val="BodyText"/>
              <w:spacing w:line="240" w:lineRule="auto"/>
              <w:ind w:left="144"/>
              <w:jc w:val="left"/>
              <w:rPr>
                <w:rFonts w:cs="Times New Roman"/>
                <w:lang w:val="en-ID"/>
              </w:rPr>
            </w:pPr>
            <w:r w:rsidRPr="006B0292">
              <w:rPr>
                <w:rFonts w:cs="Times New Roman"/>
                <w:lang w:val="en-ID"/>
              </w:rPr>
              <w:t>Kepemilikan institusional memperkuat pengaruh ERM terhadap nilai perusahaan.</w:t>
            </w:r>
            <w:r w:rsidR="008F4036">
              <w:rPr>
                <w:rFonts w:cs="Times New Roman"/>
                <w:lang w:val="en-ID"/>
              </w:rPr>
              <w:t xml:space="preserve"> </w:t>
            </w:r>
            <w:r w:rsidRPr="006B0292">
              <w:rPr>
                <w:rFonts w:cs="Times New Roman"/>
                <w:lang w:val="en-ID"/>
              </w:rPr>
              <w:t>Kepemilikan institusional memperkuat pengaruh profitabilitas terhadap nilai perusahaan.</w:t>
            </w:r>
          </w:p>
        </w:tc>
      </w:tr>
      <w:tr w:rsidR="006B0292" w:rsidRPr="006B0292" w14:paraId="17BC8C51" w14:textId="77777777" w:rsidTr="00361802">
        <w:trPr>
          <w:trHeight w:val="836"/>
        </w:trPr>
        <w:tc>
          <w:tcPr>
            <w:tcW w:w="426" w:type="dxa"/>
            <w:tcBorders>
              <w:top w:val="single" w:sz="6" w:space="0" w:color="000000"/>
              <w:left w:val="single" w:sz="6" w:space="0" w:color="000000"/>
              <w:bottom w:val="single" w:sz="6" w:space="0" w:color="000000"/>
              <w:right w:val="single" w:sz="6" w:space="0" w:color="000000"/>
            </w:tcBorders>
            <w:hideMark/>
          </w:tcPr>
          <w:p w14:paraId="22084155" w14:textId="77777777" w:rsidR="006B0292" w:rsidRDefault="006B0292" w:rsidP="00BB16BE">
            <w:pPr>
              <w:pStyle w:val="BodyText"/>
              <w:spacing w:line="240" w:lineRule="auto"/>
              <w:ind w:left="567"/>
              <w:rPr>
                <w:rFonts w:cs="Times New Roman"/>
                <w:lang w:val="en-US"/>
              </w:rPr>
            </w:pPr>
            <w:r w:rsidRPr="006B0292">
              <w:rPr>
                <w:rFonts w:cs="Times New Roman"/>
                <w:lang w:val="en-US"/>
              </w:rPr>
              <w:lastRenderedPageBreak/>
              <w:t>6</w:t>
            </w:r>
          </w:p>
          <w:p w14:paraId="0DB19CB8" w14:textId="77777777" w:rsidR="00361802" w:rsidRPr="00361802" w:rsidRDefault="00361802" w:rsidP="00BB16BE">
            <w:pPr>
              <w:spacing w:line="240" w:lineRule="auto"/>
              <w:rPr>
                <w:lang w:val="en-US"/>
              </w:rPr>
            </w:pPr>
          </w:p>
          <w:p w14:paraId="3953533A" w14:textId="77777777" w:rsidR="00361802" w:rsidRDefault="00361802" w:rsidP="00BB16BE">
            <w:pPr>
              <w:spacing w:line="240" w:lineRule="auto"/>
              <w:rPr>
                <w:rFonts w:cs="Times New Roman"/>
                <w:szCs w:val="24"/>
                <w:lang w:val="en-US"/>
              </w:rPr>
            </w:pPr>
          </w:p>
          <w:p w14:paraId="174C13AA" w14:textId="0126911B" w:rsidR="00361802" w:rsidRDefault="00EE3BC3" w:rsidP="00BB16BE">
            <w:pPr>
              <w:spacing w:line="240" w:lineRule="auto"/>
              <w:jc w:val="center"/>
              <w:rPr>
                <w:rFonts w:cs="Times New Roman"/>
                <w:szCs w:val="24"/>
                <w:lang w:val="en-US"/>
              </w:rPr>
            </w:pPr>
            <w:r>
              <w:rPr>
                <w:rFonts w:cs="Times New Roman"/>
                <w:szCs w:val="24"/>
                <w:lang w:val="en-US"/>
              </w:rPr>
              <w:t>6</w:t>
            </w:r>
          </w:p>
          <w:p w14:paraId="0DC532FC" w14:textId="4CACABEA" w:rsidR="00361802" w:rsidRPr="006B0292" w:rsidRDefault="00361802" w:rsidP="00BB16BE">
            <w:pPr>
              <w:spacing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hideMark/>
          </w:tcPr>
          <w:p w14:paraId="6141B0AE" w14:textId="77777777" w:rsidR="006B0292" w:rsidRPr="006B0292" w:rsidRDefault="006B0292" w:rsidP="00BB16BE">
            <w:pPr>
              <w:pStyle w:val="BodyText"/>
              <w:spacing w:line="240" w:lineRule="auto"/>
              <w:ind w:left="145" w:right="128" w:hanging="4"/>
              <w:jc w:val="left"/>
              <w:rPr>
                <w:rFonts w:cs="Times New Roman"/>
                <w:lang w:val="en-US"/>
              </w:rPr>
            </w:pPr>
            <w:r w:rsidRPr="006B0292">
              <w:rPr>
                <w:rFonts w:cs="Times New Roman"/>
                <w:lang w:val="en-US"/>
              </w:rPr>
              <w:t>Fitriana &amp; Mariana (2025)</w:t>
            </w:r>
          </w:p>
        </w:tc>
        <w:tc>
          <w:tcPr>
            <w:tcW w:w="2267" w:type="dxa"/>
            <w:tcBorders>
              <w:top w:val="single" w:sz="6" w:space="0" w:color="000000"/>
              <w:left w:val="single" w:sz="6" w:space="0" w:color="000000"/>
              <w:bottom w:val="single" w:sz="6" w:space="0" w:color="000000"/>
              <w:right w:val="single" w:sz="6" w:space="0" w:color="000000"/>
            </w:tcBorders>
            <w:hideMark/>
          </w:tcPr>
          <w:p w14:paraId="3023F9D3" w14:textId="77777777" w:rsidR="006B0292" w:rsidRPr="006B0292" w:rsidRDefault="006B0292" w:rsidP="00BB16BE">
            <w:pPr>
              <w:pStyle w:val="BodyText"/>
              <w:spacing w:line="240" w:lineRule="auto"/>
              <w:ind w:left="131" w:right="-139"/>
              <w:jc w:val="left"/>
              <w:rPr>
                <w:rFonts w:cs="Times New Roman"/>
                <w:lang w:val="en-US"/>
              </w:rPr>
            </w:pPr>
            <w:r w:rsidRPr="006B0292">
              <w:rPr>
                <w:rFonts w:cs="Times New Roman"/>
                <w:lang w:val="en-US"/>
              </w:rPr>
              <w:t xml:space="preserve">Pengaruh pengungkapan </w:t>
            </w:r>
            <w:r w:rsidRPr="006B0292">
              <w:rPr>
                <w:rFonts w:cs="Times New Roman"/>
                <w:i/>
                <w:iCs/>
                <w:lang w:val="en-US"/>
              </w:rPr>
              <w:t>Environmental, Social</w:t>
            </w:r>
            <w:r w:rsidRPr="006B0292">
              <w:rPr>
                <w:rFonts w:cs="Times New Roman"/>
                <w:lang w:val="en-US"/>
              </w:rPr>
              <w:t xml:space="preserve">, dan </w:t>
            </w:r>
            <w:r w:rsidRPr="006B0292">
              <w:rPr>
                <w:rFonts w:cs="Times New Roman"/>
                <w:i/>
                <w:iCs/>
                <w:lang w:val="en-US"/>
              </w:rPr>
              <w:t>Governance</w:t>
            </w:r>
            <w:r w:rsidRPr="006B0292">
              <w:rPr>
                <w:rFonts w:cs="Times New Roman"/>
                <w:lang w:val="en-US"/>
              </w:rPr>
              <w:t xml:space="preserve"> (ESG) terhadap Kinerja Perusahaan Energi dan Pertambangan</w:t>
            </w:r>
          </w:p>
        </w:tc>
        <w:tc>
          <w:tcPr>
            <w:tcW w:w="1844" w:type="dxa"/>
            <w:tcBorders>
              <w:top w:val="single" w:sz="6" w:space="0" w:color="000000"/>
              <w:left w:val="single" w:sz="6" w:space="0" w:color="000000"/>
              <w:bottom w:val="single" w:sz="6" w:space="0" w:color="000000"/>
              <w:right w:val="single" w:sz="6" w:space="0" w:color="000000"/>
            </w:tcBorders>
            <w:hideMark/>
          </w:tcPr>
          <w:p w14:paraId="6F33DBBB"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lang w:val="en-US"/>
              </w:rPr>
              <w:t xml:space="preserve">Pengungkapan Environmental, Pengungkapan </w:t>
            </w:r>
            <w:r w:rsidRPr="006B0292">
              <w:rPr>
                <w:rFonts w:cs="Times New Roman"/>
                <w:i/>
                <w:iCs/>
                <w:lang w:val="en-US"/>
              </w:rPr>
              <w:t>Social</w:t>
            </w:r>
            <w:r w:rsidRPr="006B0292">
              <w:rPr>
                <w:rFonts w:cs="Times New Roman"/>
                <w:lang w:val="en-US"/>
              </w:rPr>
              <w:t xml:space="preserve">, Pengungkapan </w:t>
            </w:r>
            <w:r w:rsidRPr="006B0292">
              <w:rPr>
                <w:rFonts w:cs="Times New Roman"/>
                <w:i/>
                <w:iCs/>
                <w:lang w:val="en-US"/>
              </w:rPr>
              <w:t>Governance</w:t>
            </w:r>
          </w:p>
          <w:p w14:paraId="33818B19" w14:textId="77777777" w:rsidR="006B0292" w:rsidRPr="006B0292" w:rsidRDefault="006B0292" w:rsidP="00BB16BE">
            <w:pPr>
              <w:pStyle w:val="BodyText"/>
              <w:numPr>
                <w:ilvl w:val="0"/>
                <w:numId w:val="3"/>
              </w:numPr>
              <w:spacing w:line="240" w:lineRule="auto"/>
              <w:ind w:left="139"/>
              <w:jc w:val="left"/>
              <w:rPr>
                <w:rFonts w:cs="Times New Roman"/>
                <w:b/>
                <w:bCs/>
                <w:lang w:val="en-US"/>
              </w:rPr>
            </w:pPr>
            <w:r w:rsidRPr="006B0292">
              <w:rPr>
                <w:rFonts w:cs="Times New Roman"/>
                <w:lang w:val="en-US"/>
              </w:rPr>
              <w:t>Kinerja Perusahaan (ROA)</w:t>
            </w:r>
          </w:p>
        </w:tc>
        <w:tc>
          <w:tcPr>
            <w:tcW w:w="2268" w:type="dxa"/>
            <w:tcBorders>
              <w:top w:val="single" w:sz="6" w:space="0" w:color="000000"/>
              <w:left w:val="single" w:sz="6" w:space="0" w:color="000000"/>
              <w:bottom w:val="single" w:sz="6" w:space="0" w:color="000000"/>
              <w:right w:val="single" w:sz="6" w:space="0" w:color="000000"/>
            </w:tcBorders>
            <w:hideMark/>
          </w:tcPr>
          <w:p w14:paraId="757A57B4" w14:textId="77777777" w:rsidR="008F4036" w:rsidRDefault="006B0292" w:rsidP="00BB16BE">
            <w:pPr>
              <w:pStyle w:val="BodyText"/>
              <w:spacing w:line="240" w:lineRule="auto"/>
              <w:ind w:left="144"/>
              <w:jc w:val="left"/>
              <w:rPr>
                <w:rFonts w:cs="Times New Roman"/>
                <w:lang w:val="en-ID"/>
              </w:rPr>
            </w:pPr>
            <w:r w:rsidRPr="006B0292">
              <w:rPr>
                <w:rFonts w:cs="Times New Roman"/>
                <w:lang w:val="en-ID"/>
              </w:rPr>
              <w:t xml:space="preserve">Pengungkapan </w:t>
            </w:r>
            <w:r w:rsidRPr="006B0292">
              <w:rPr>
                <w:rFonts w:cs="Times New Roman"/>
                <w:i/>
                <w:iCs/>
                <w:lang w:val="en-ID"/>
              </w:rPr>
              <w:t>Environmental</w:t>
            </w:r>
            <w:r w:rsidRPr="006B0292">
              <w:rPr>
                <w:rFonts w:cs="Times New Roman"/>
                <w:lang w:val="en-ID"/>
              </w:rPr>
              <w:t xml:space="preserve"> berpengaruh positif signifikan terhadap ROA</w:t>
            </w:r>
            <w:r w:rsidR="008F4036">
              <w:rPr>
                <w:rFonts w:cs="Times New Roman"/>
                <w:lang w:val="en-ID"/>
              </w:rPr>
              <w:t xml:space="preserve">. </w:t>
            </w:r>
            <w:r w:rsidRPr="006B0292">
              <w:rPr>
                <w:rFonts w:cs="Times New Roman"/>
                <w:lang w:val="en-ID"/>
              </w:rPr>
              <w:t xml:space="preserve">Pengungkapan </w:t>
            </w:r>
            <w:r w:rsidRPr="006B0292">
              <w:rPr>
                <w:rFonts w:cs="Times New Roman"/>
                <w:i/>
                <w:iCs/>
                <w:lang w:val="en-ID"/>
              </w:rPr>
              <w:t>social</w:t>
            </w:r>
            <w:r w:rsidRPr="006B0292">
              <w:rPr>
                <w:rFonts w:cs="Times New Roman"/>
                <w:lang w:val="en-ID"/>
              </w:rPr>
              <w:t xml:space="preserve"> berpengaruh negatif signifikan terhadap ROA</w:t>
            </w:r>
            <w:r w:rsidR="008F4036">
              <w:rPr>
                <w:rFonts w:cs="Times New Roman"/>
                <w:lang w:val="en-ID"/>
              </w:rPr>
              <w:t xml:space="preserve">. </w:t>
            </w:r>
            <w:r w:rsidRPr="006B0292">
              <w:rPr>
                <w:rFonts w:cs="Times New Roman"/>
                <w:lang w:val="en-ID"/>
              </w:rPr>
              <w:t xml:space="preserve">Pengungkapan </w:t>
            </w:r>
            <w:r w:rsidRPr="006B0292">
              <w:rPr>
                <w:rFonts w:cs="Times New Roman"/>
                <w:i/>
                <w:iCs/>
                <w:lang w:val="en-ID"/>
              </w:rPr>
              <w:t>governance</w:t>
            </w:r>
            <w:r w:rsidRPr="006B0292">
              <w:rPr>
                <w:rFonts w:cs="Times New Roman"/>
                <w:lang w:val="en-ID"/>
              </w:rPr>
              <w:t xml:space="preserve"> tidak berpengaruh signifikan terhadap ROA</w:t>
            </w:r>
            <w:r w:rsidR="008F4036">
              <w:rPr>
                <w:rFonts w:cs="Times New Roman"/>
                <w:lang w:val="en-ID"/>
              </w:rPr>
              <w:t xml:space="preserve">. </w:t>
            </w:r>
          </w:p>
          <w:p w14:paraId="591BBA07" w14:textId="1F89687D" w:rsidR="006B0292" w:rsidRPr="006B0292" w:rsidRDefault="006B0292" w:rsidP="00BB16BE">
            <w:pPr>
              <w:pStyle w:val="BodyText"/>
              <w:spacing w:line="240" w:lineRule="auto"/>
              <w:ind w:left="144"/>
              <w:jc w:val="left"/>
              <w:rPr>
                <w:rFonts w:cs="Times New Roman"/>
                <w:lang w:val="en-ID"/>
              </w:rPr>
            </w:pPr>
            <w:r w:rsidRPr="006B0292">
              <w:rPr>
                <w:rFonts w:cs="Times New Roman"/>
                <w:lang w:val="en-ID"/>
              </w:rPr>
              <w:t>Secara simultan, ketiga variabel berpengaruh signifikan terhadap ROA</w:t>
            </w:r>
          </w:p>
        </w:tc>
      </w:tr>
    </w:tbl>
    <w:p w14:paraId="4829203A" w14:textId="6CC62FA1" w:rsidR="00BB16BE" w:rsidRDefault="00BB16BE"/>
    <w:p w14:paraId="0A1E162C" w14:textId="600FAEC4" w:rsidR="00BB16BE" w:rsidRDefault="00BB16BE"/>
    <w:p w14:paraId="54B08B97" w14:textId="77777777" w:rsidR="005127B1" w:rsidRDefault="005127B1"/>
    <w:tbl>
      <w:tblPr>
        <w:tblW w:w="808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6"/>
        <w:gridCol w:w="1275"/>
        <w:gridCol w:w="2267"/>
        <w:gridCol w:w="1844"/>
        <w:gridCol w:w="2268"/>
      </w:tblGrid>
      <w:tr w:rsidR="008F4036" w:rsidRPr="005D0316" w14:paraId="179D918C" w14:textId="77777777" w:rsidTr="00383280">
        <w:trPr>
          <w:trHeight w:val="666"/>
        </w:trPr>
        <w:tc>
          <w:tcPr>
            <w:tcW w:w="426" w:type="dxa"/>
            <w:tcBorders>
              <w:top w:val="single" w:sz="6" w:space="0" w:color="000000"/>
              <w:left w:val="single" w:sz="6" w:space="0" w:color="000000"/>
              <w:bottom w:val="single" w:sz="6" w:space="0" w:color="000000"/>
              <w:right w:val="single" w:sz="6" w:space="0" w:color="000000"/>
            </w:tcBorders>
            <w:hideMark/>
          </w:tcPr>
          <w:p w14:paraId="6A0B5579" w14:textId="77777777" w:rsidR="008F4036" w:rsidRPr="005D0316" w:rsidRDefault="008F4036" w:rsidP="00BB16BE">
            <w:pPr>
              <w:pStyle w:val="BodyText"/>
              <w:spacing w:line="240" w:lineRule="auto"/>
              <w:ind w:left="567"/>
              <w:rPr>
                <w:rFonts w:cs="Times New Roman"/>
                <w:b/>
                <w:lang w:val="id-ID"/>
              </w:rPr>
            </w:pPr>
            <w:r w:rsidRPr="005D0316">
              <w:rPr>
                <w:rFonts w:cs="Times New Roman"/>
                <w:b/>
                <w:lang w:val="id-ID"/>
              </w:rPr>
              <w:t>No</w:t>
            </w:r>
          </w:p>
        </w:tc>
        <w:tc>
          <w:tcPr>
            <w:tcW w:w="1275" w:type="dxa"/>
            <w:tcBorders>
              <w:top w:val="single" w:sz="6" w:space="0" w:color="000000"/>
              <w:left w:val="single" w:sz="6" w:space="0" w:color="000000"/>
              <w:bottom w:val="single" w:sz="6" w:space="0" w:color="000000"/>
              <w:right w:val="single" w:sz="6" w:space="0" w:color="000000"/>
            </w:tcBorders>
            <w:hideMark/>
          </w:tcPr>
          <w:p w14:paraId="4FDAE8A2" w14:textId="77777777" w:rsidR="008F4036" w:rsidRPr="005D0316" w:rsidRDefault="008F4036" w:rsidP="00BB16BE">
            <w:pPr>
              <w:spacing w:line="240" w:lineRule="auto"/>
              <w:ind w:left="145" w:right="128" w:hanging="4"/>
              <w:jc w:val="center"/>
              <w:rPr>
                <w:b/>
                <w:lang w:val="id-ID"/>
              </w:rPr>
            </w:pPr>
            <w:r w:rsidRPr="005D0316">
              <w:rPr>
                <w:b/>
                <w:lang w:val="id-ID"/>
              </w:rPr>
              <w:t>Peneliti &amp; Tahun</w:t>
            </w:r>
          </w:p>
        </w:tc>
        <w:tc>
          <w:tcPr>
            <w:tcW w:w="2267" w:type="dxa"/>
            <w:tcBorders>
              <w:top w:val="single" w:sz="6" w:space="0" w:color="000000"/>
              <w:left w:val="single" w:sz="6" w:space="0" w:color="000000"/>
              <w:bottom w:val="single" w:sz="6" w:space="0" w:color="000000"/>
              <w:right w:val="single" w:sz="6" w:space="0" w:color="000000"/>
            </w:tcBorders>
            <w:hideMark/>
          </w:tcPr>
          <w:p w14:paraId="1C1B7B5A" w14:textId="77777777" w:rsidR="008F4036" w:rsidRPr="005D0316" w:rsidRDefault="008F4036" w:rsidP="00BB16BE">
            <w:pPr>
              <w:spacing w:line="240" w:lineRule="auto"/>
              <w:ind w:left="131" w:right="-139"/>
              <w:jc w:val="center"/>
              <w:rPr>
                <w:b/>
                <w:lang w:val="id-ID"/>
              </w:rPr>
            </w:pPr>
            <w:r w:rsidRPr="005D0316">
              <w:rPr>
                <w:b/>
                <w:lang w:val="id-ID"/>
              </w:rPr>
              <w:t>Judul Penelitian</w:t>
            </w:r>
          </w:p>
        </w:tc>
        <w:tc>
          <w:tcPr>
            <w:tcW w:w="1844" w:type="dxa"/>
            <w:tcBorders>
              <w:top w:val="single" w:sz="6" w:space="0" w:color="000000"/>
              <w:left w:val="single" w:sz="6" w:space="0" w:color="000000"/>
              <w:bottom w:val="single" w:sz="6" w:space="0" w:color="000000"/>
              <w:right w:val="single" w:sz="6" w:space="0" w:color="000000"/>
            </w:tcBorders>
            <w:hideMark/>
          </w:tcPr>
          <w:p w14:paraId="6557DFC5" w14:textId="77777777" w:rsidR="008F4036" w:rsidRPr="005D0316" w:rsidRDefault="008F4036" w:rsidP="00BB16BE">
            <w:pPr>
              <w:spacing w:line="240" w:lineRule="auto"/>
              <w:ind w:left="139"/>
              <w:jc w:val="center"/>
              <w:rPr>
                <w:b/>
                <w:lang w:val="id-ID"/>
              </w:rPr>
            </w:pPr>
            <w:r w:rsidRPr="005D0316">
              <w:rPr>
                <w:b/>
                <w:lang w:val="id-ID"/>
              </w:rPr>
              <w:t>Variabel Penelitian</w:t>
            </w:r>
          </w:p>
        </w:tc>
        <w:tc>
          <w:tcPr>
            <w:tcW w:w="2268" w:type="dxa"/>
            <w:tcBorders>
              <w:top w:val="single" w:sz="6" w:space="0" w:color="000000"/>
              <w:left w:val="single" w:sz="6" w:space="0" w:color="000000"/>
              <w:bottom w:val="single" w:sz="6" w:space="0" w:color="000000"/>
              <w:right w:val="single" w:sz="6" w:space="0" w:color="000000"/>
            </w:tcBorders>
            <w:hideMark/>
          </w:tcPr>
          <w:p w14:paraId="77306B9E" w14:textId="77777777" w:rsidR="008F4036" w:rsidRPr="005D0316" w:rsidRDefault="008F4036" w:rsidP="00BB16BE">
            <w:pPr>
              <w:spacing w:line="240" w:lineRule="auto"/>
              <w:jc w:val="center"/>
              <w:rPr>
                <w:b/>
                <w:lang w:val="id-ID"/>
              </w:rPr>
            </w:pPr>
            <w:r w:rsidRPr="005D0316">
              <w:rPr>
                <w:b/>
                <w:lang w:val="id-ID"/>
              </w:rPr>
              <w:t>Hasil &amp; Temuan Utama</w:t>
            </w:r>
          </w:p>
        </w:tc>
      </w:tr>
      <w:tr w:rsidR="006B0292" w:rsidRPr="006B0292" w14:paraId="180ABE1D" w14:textId="77777777" w:rsidTr="00361802">
        <w:trPr>
          <w:trHeight w:val="836"/>
        </w:trPr>
        <w:tc>
          <w:tcPr>
            <w:tcW w:w="426" w:type="dxa"/>
            <w:tcBorders>
              <w:top w:val="single" w:sz="6" w:space="0" w:color="000000"/>
              <w:left w:val="single" w:sz="6" w:space="0" w:color="000000"/>
              <w:bottom w:val="single" w:sz="6" w:space="0" w:color="000000"/>
              <w:right w:val="single" w:sz="6" w:space="0" w:color="000000"/>
            </w:tcBorders>
            <w:hideMark/>
          </w:tcPr>
          <w:p w14:paraId="1CCEABA5" w14:textId="77777777" w:rsidR="006B0292" w:rsidRDefault="006B0292" w:rsidP="00BB16BE">
            <w:pPr>
              <w:pStyle w:val="BodyText"/>
              <w:spacing w:line="240" w:lineRule="auto"/>
              <w:ind w:left="567"/>
              <w:rPr>
                <w:rFonts w:cs="Times New Roman"/>
                <w:b/>
                <w:lang w:val="en-US"/>
              </w:rPr>
            </w:pPr>
            <w:r w:rsidRPr="006B0292">
              <w:rPr>
                <w:rFonts w:cs="Times New Roman"/>
                <w:b/>
                <w:lang w:val="en-US"/>
              </w:rPr>
              <w:t>7</w:t>
            </w:r>
          </w:p>
          <w:p w14:paraId="50BC7022" w14:textId="77777777" w:rsidR="00361802" w:rsidRPr="00361802" w:rsidRDefault="00361802" w:rsidP="00BB16BE">
            <w:pPr>
              <w:spacing w:line="240" w:lineRule="auto"/>
              <w:rPr>
                <w:lang w:val="en-US"/>
              </w:rPr>
            </w:pPr>
          </w:p>
          <w:p w14:paraId="2DA49DEA" w14:textId="77777777" w:rsidR="00361802" w:rsidRDefault="00361802" w:rsidP="00BB16BE">
            <w:pPr>
              <w:spacing w:line="240" w:lineRule="auto"/>
              <w:rPr>
                <w:rFonts w:cs="Times New Roman"/>
                <w:b/>
                <w:szCs w:val="24"/>
                <w:lang w:val="en-US"/>
              </w:rPr>
            </w:pPr>
          </w:p>
          <w:p w14:paraId="15D92747" w14:textId="106580A0" w:rsidR="00361802" w:rsidRDefault="008F4036" w:rsidP="00BB16BE">
            <w:pPr>
              <w:spacing w:line="240" w:lineRule="auto"/>
              <w:jc w:val="center"/>
              <w:rPr>
                <w:rFonts w:cs="Times New Roman"/>
                <w:b/>
                <w:szCs w:val="24"/>
                <w:lang w:val="en-US"/>
              </w:rPr>
            </w:pPr>
            <w:r>
              <w:rPr>
                <w:rFonts w:cs="Times New Roman"/>
                <w:b/>
                <w:szCs w:val="24"/>
                <w:lang w:val="en-US"/>
              </w:rPr>
              <w:t>7</w:t>
            </w:r>
          </w:p>
          <w:p w14:paraId="5D6E9965" w14:textId="1F4ADBA6" w:rsidR="00361802" w:rsidRPr="006B0292" w:rsidRDefault="00361802" w:rsidP="00BB16BE">
            <w:pPr>
              <w:spacing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hideMark/>
          </w:tcPr>
          <w:p w14:paraId="76FF9F04" w14:textId="77777777" w:rsidR="006B0292" w:rsidRPr="006B0292" w:rsidRDefault="006B0292" w:rsidP="00BB16BE">
            <w:pPr>
              <w:pStyle w:val="BodyText"/>
              <w:spacing w:line="240" w:lineRule="auto"/>
              <w:ind w:left="145" w:right="128" w:hanging="4"/>
              <w:jc w:val="left"/>
              <w:rPr>
                <w:rFonts w:cs="Times New Roman"/>
                <w:bCs/>
                <w:lang w:val="en-US"/>
              </w:rPr>
            </w:pPr>
            <w:r w:rsidRPr="006B0292">
              <w:rPr>
                <w:rFonts w:cs="Times New Roman"/>
                <w:bCs/>
                <w:lang w:val="en-US"/>
              </w:rPr>
              <w:t>Solihah &amp; Fadilah (2026)</w:t>
            </w:r>
          </w:p>
        </w:tc>
        <w:tc>
          <w:tcPr>
            <w:tcW w:w="2267" w:type="dxa"/>
            <w:tcBorders>
              <w:top w:val="single" w:sz="6" w:space="0" w:color="000000"/>
              <w:left w:val="single" w:sz="6" w:space="0" w:color="000000"/>
              <w:bottom w:val="single" w:sz="6" w:space="0" w:color="000000"/>
              <w:right w:val="single" w:sz="6" w:space="0" w:color="000000"/>
            </w:tcBorders>
            <w:hideMark/>
          </w:tcPr>
          <w:p w14:paraId="47845FCD" w14:textId="77777777" w:rsidR="006B0292" w:rsidRPr="006B0292" w:rsidRDefault="006B0292" w:rsidP="00BB16BE">
            <w:pPr>
              <w:pStyle w:val="BodyText"/>
              <w:spacing w:line="240" w:lineRule="auto"/>
              <w:ind w:left="131" w:right="-139"/>
              <w:jc w:val="left"/>
              <w:rPr>
                <w:rFonts w:cs="Times New Roman"/>
                <w:bCs/>
                <w:lang w:val="en-US"/>
              </w:rPr>
            </w:pPr>
            <w:r w:rsidRPr="006B0292">
              <w:rPr>
                <w:rFonts w:cs="Times New Roman"/>
                <w:bCs/>
                <w:lang w:val="en-US"/>
              </w:rPr>
              <w:t>Pengaruh ESG Disclosure dan CSR terhadap Kinerja Keuangan (Sektor Energi BEI, 2020-2024)</w:t>
            </w:r>
          </w:p>
        </w:tc>
        <w:tc>
          <w:tcPr>
            <w:tcW w:w="1844" w:type="dxa"/>
            <w:tcBorders>
              <w:top w:val="single" w:sz="6" w:space="0" w:color="000000"/>
              <w:left w:val="single" w:sz="6" w:space="0" w:color="000000"/>
              <w:bottom w:val="single" w:sz="6" w:space="0" w:color="000000"/>
              <w:right w:val="single" w:sz="6" w:space="0" w:color="000000"/>
            </w:tcBorders>
            <w:hideMark/>
          </w:tcPr>
          <w:p w14:paraId="3C5C2559" w14:textId="77777777" w:rsidR="006B0292" w:rsidRPr="006B0292" w:rsidRDefault="006B0292" w:rsidP="00BB16BE">
            <w:pPr>
              <w:pStyle w:val="BodyText"/>
              <w:numPr>
                <w:ilvl w:val="0"/>
                <w:numId w:val="3"/>
              </w:numPr>
              <w:spacing w:line="240" w:lineRule="auto"/>
              <w:ind w:left="139"/>
              <w:jc w:val="left"/>
              <w:rPr>
                <w:rFonts w:cs="Times New Roman"/>
                <w:bCs/>
                <w:lang w:val="en-US"/>
              </w:rPr>
            </w:pPr>
            <w:r w:rsidRPr="006B0292">
              <w:rPr>
                <w:rFonts w:cs="Times New Roman"/>
                <w:bCs/>
                <w:lang w:val="en-US"/>
              </w:rPr>
              <w:t xml:space="preserve">ESG </w:t>
            </w:r>
            <w:r w:rsidRPr="006B0292">
              <w:rPr>
                <w:rFonts w:cs="Times New Roman"/>
                <w:bCs/>
                <w:i/>
                <w:iCs/>
                <w:lang w:val="en-US"/>
              </w:rPr>
              <w:t>Disclosure</w:t>
            </w:r>
          </w:p>
          <w:p w14:paraId="3611940F" w14:textId="77777777" w:rsidR="006B0292" w:rsidRPr="006B0292" w:rsidRDefault="006B0292" w:rsidP="00BB16BE">
            <w:pPr>
              <w:pStyle w:val="BodyText"/>
              <w:numPr>
                <w:ilvl w:val="0"/>
                <w:numId w:val="3"/>
              </w:numPr>
              <w:spacing w:line="240" w:lineRule="auto"/>
              <w:ind w:left="139"/>
              <w:jc w:val="left"/>
              <w:rPr>
                <w:rFonts w:cs="Times New Roman"/>
                <w:bCs/>
                <w:lang w:val="en-US"/>
              </w:rPr>
            </w:pPr>
            <w:r w:rsidRPr="006B0292">
              <w:rPr>
                <w:rFonts w:cs="Times New Roman"/>
                <w:bCs/>
                <w:lang w:val="en-US"/>
              </w:rPr>
              <w:t>CSR</w:t>
            </w:r>
          </w:p>
          <w:p w14:paraId="5B69DD49" w14:textId="77777777" w:rsidR="006B0292" w:rsidRPr="006B0292" w:rsidRDefault="006B0292" w:rsidP="00BB16BE">
            <w:pPr>
              <w:pStyle w:val="BodyText"/>
              <w:numPr>
                <w:ilvl w:val="0"/>
                <w:numId w:val="3"/>
              </w:numPr>
              <w:spacing w:line="240" w:lineRule="auto"/>
              <w:ind w:left="139"/>
              <w:jc w:val="left"/>
              <w:rPr>
                <w:rFonts w:cs="Times New Roman"/>
                <w:bCs/>
                <w:lang w:val="en-US"/>
              </w:rPr>
            </w:pPr>
            <w:r w:rsidRPr="006B0292">
              <w:rPr>
                <w:rFonts w:cs="Times New Roman"/>
                <w:bCs/>
                <w:lang w:val="en-US"/>
              </w:rPr>
              <w:t>ROA</w:t>
            </w:r>
          </w:p>
        </w:tc>
        <w:tc>
          <w:tcPr>
            <w:tcW w:w="2268" w:type="dxa"/>
            <w:tcBorders>
              <w:top w:val="single" w:sz="6" w:space="0" w:color="000000"/>
              <w:left w:val="single" w:sz="6" w:space="0" w:color="000000"/>
              <w:bottom w:val="single" w:sz="6" w:space="0" w:color="000000"/>
              <w:right w:val="single" w:sz="6" w:space="0" w:color="000000"/>
            </w:tcBorders>
            <w:hideMark/>
          </w:tcPr>
          <w:p w14:paraId="075B318F" w14:textId="77777777" w:rsidR="006B0292" w:rsidRPr="006B0292" w:rsidRDefault="006B0292" w:rsidP="00BB16BE">
            <w:pPr>
              <w:pStyle w:val="BodyText"/>
              <w:spacing w:line="240" w:lineRule="auto"/>
              <w:ind w:left="144"/>
              <w:jc w:val="left"/>
              <w:rPr>
                <w:rFonts w:cs="Times New Roman"/>
                <w:bCs/>
                <w:lang w:val="en-US"/>
              </w:rPr>
            </w:pPr>
            <w:r w:rsidRPr="006B0292">
              <w:rPr>
                <w:rFonts w:cs="Times New Roman"/>
                <w:bCs/>
                <w:lang w:val="en-US"/>
              </w:rPr>
              <w:t xml:space="preserve">ESG </w:t>
            </w:r>
            <w:r w:rsidRPr="006B0292">
              <w:rPr>
                <w:rFonts w:cs="Times New Roman"/>
                <w:bCs/>
                <w:i/>
                <w:iCs/>
                <w:lang w:val="en-US"/>
              </w:rPr>
              <w:t>disclosure</w:t>
            </w:r>
            <w:r w:rsidRPr="006B0292">
              <w:rPr>
                <w:rFonts w:cs="Times New Roman"/>
                <w:bCs/>
                <w:lang w:val="en-US"/>
              </w:rPr>
              <w:t xml:space="preserve"> tidak signifikan terhadap ROA.</w:t>
            </w:r>
          </w:p>
          <w:p w14:paraId="5088EDFA" w14:textId="77777777" w:rsidR="006B0292" w:rsidRPr="006B0292" w:rsidRDefault="006B0292" w:rsidP="00BB16BE">
            <w:pPr>
              <w:pStyle w:val="BodyText"/>
              <w:spacing w:line="240" w:lineRule="auto"/>
              <w:ind w:left="144"/>
              <w:jc w:val="left"/>
              <w:rPr>
                <w:rFonts w:cs="Times New Roman"/>
                <w:bCs/>
                <w:lang w:val="en-US"/>
              </w:rPr>
            </w:pPr>
            <w:r w:rsidRPr="006B0292">
              <w:rPr>
                <w:rFonts w:cs="Times New Roman"/>
                <w:bCs/>
                <w:lang w:val="en-US"/>
              </w:rPr>
              <w:t>CSR signifikan positif terhadap ROA.</w:t>
            </w:r>
          </w:p>
          <w:p w14:paraId="301E5E0C" w14:textId="77777777" w:rsidR="006B0292" w:rsidRPr="006B0292" w:rsidRDefault="006B0292" w:rsidP="00C31B70">
            <w:pPr>
              <w:pStyle w:val="BodyText"/>
              <w:keepNext/>
              <w:spacing w:line="240" w:lineRule="auto"/>
              <w:ind w:left="144"/>
              <w:jc w:val="left"/>
              <w:rPr>
                <w:rFonts w:cs="Times New Roman"/>
                <w:bCs/>
                <w:lang w:val="en-US"/>
              </w:rPr>
            </w:pPr>
            <w:r w:rsidRPr="006B0292">
              <w:rPr>
                <w:rFonts w:cs="Times New Roman"/>
                <w:bCs/>
                <w:lang w:val="en-US"/>
              </w:rPr>
              <w:t>Secara simultan keduanya berpengaruh signifikan.</w:t>
            </w:r>
          </w:p>
        </w:tc>
      </w:tr>
    </w:tbl>
    <w:p w14:paraId="6C513669" w14:textId="5511CF8B" w:rsidR="00DD463A" w:rsidRPr="00517B6B" w:rsidRDefault="00C31B70" w:rsidP="00C31B70">
      <w:pPr>
        <w:pStyle w:val="Caption"/>
        <w:spacing w:line="240" w:lineRule="auto"/>
        <w:rPr>
          <w:rFonts w:cs="Times New Roman"/>
          <w:i w:val="0"/>
          <w:iCs w:val="0"/>
          <w:color w:val="auto"/>
          <w:sz w:val="24"/>
          <w:szCs w:val="24"/>
          <w:lang w:val="en-US"/>
        </w:rPr>
      </w:pPr>
      <w:r w:rsidRPr="00C31B70">
        <w:rPr>
          <w:rFonts w:cs="Times New Roman"/>
          <w:i w:val="0"/>
          <w:iCs w:val="0"/>
          <w:color w:val="auto"/>
          <w:sz w:val="24"/>
          <w:szCs w:val="24"/>
        </w:rPr>
        <w:t xml:space="preserve">Sumber </w:t>
      </w:r>
      <w:r>
        <w:rPr>
          <w:rFonts w:cs="Times New Roman"/>
          <w:i w:val="0"/>
          <w:iCs w:val="0"/>
          <w:color w:val="auto"/>
          <w:sz w:val="24"/>
          <w:szCs w:val="24"/>
          <w:lang w:val="en-US"/>
        </w:rPr>
        <w:t>p</w:t>
      </w:r>
      <w:r w:rsidRPr="00C31B70">
        <w:rPr>
          <w:rFonts w:cs="Times New Roman"/>
          <w:i w:val="0"/>
          <w:iCs w:val="0"/>
          <w:color w:val="auto"/>
          <w:sz w:val="24"/>
          <w:szCs w:val="24"/>
          <w:lang w:val="en-US"/>
        </w:rPr>
        <w:t>enelitian:</w:t>
      </w:r>
      <w:r>
        <w:rPr>
          <w:rFonts w:cs="Times New Roman"/>
          <w:i w:val="0"/>
          <w:iCs w:val="0"/>
          <w:color w:val="auto"/>
          <w:sz w:val="24"/>
          <w:szCs w:val="24"/>
          <w:lang w:val="en-US"/>
        </w:rPr>
        <w:t xml:space="preserve"> </w:t>
      </w:r>
      <w:r w:rsidR="00517B6B">
        <w:rPr>
          <w:rFonts w:cs="Times New Roman"/>
          <w:i w:val="0"/>
          <w:iCs w:val="0"/>
          <w:color w:val="auto"/>
          <w:sz w:val="24"/>
          <w:szCs w:val="24"/>
          <w:lang w:val="en-US"/>
        </w:rPr>
        <w:t>Jurnal penelitian yang diambil pada tahun 2026</w:t>
      </w:r>
    </w:p>
    <w:p w14:paraId="0C67C47A" w14:textId="5BBFE8C2" w:rsidR="006B0292" w:rsidRPr="006B0292" w:rsidRDefault="006B0292" w:rsidP="00C31B70">
      <w:pPr>
        <w:pStyle w:val="BodyText"/>
        <w:spacing w:before="240"/>
        <w:ind w:left="0" w:firstLine="720"/>
        <w:rPr>
          <w:rFonts w:cs="Times New Roman"/>
          <w:lang w:val="en-ID"/>
        </w:rPr>
      </w:pPr>
      <w:r w:rsidRPr="006B0292">
        <w:rPr>
          <w:rFonts w:cs="Times New Roman"/>
          <w:lang w:val="en-ID"/>
        </w:rPr>
        <w:t>Berdasarkan penelitian-penelitian terdahulu yang telah diuraikan di atas, dapat disimpulkan bahwa CSR secara konsisten terbukti berpengaruh positif terhadap kinerja dan nilai perusahaan</w:t>
      </w:r>
      <w:r w:rsidR="00163A09">
        <w:rPr>
          <w:rFonts w:cs="Times New Roman"/>
          <w:lang w:val="en-ID"/>
        </w:rPr>
        <w:t xml:space="preserve"> </w:t>
      </w:r>
      <w:r w:rsidR="00163A09">
        <w:rPr>
          <w:rFonts w:cs="Times New Roman"/>
          <w:lang w:val="en-ID"/>
        </w:rPr>
        <w:fldChar w:fldCharType="begin" w:fldLock="1"/>
      </w:r>
      <w:r w:rsidR="00163A09">
        <w:rPr>
          <w:rFonts w:cs="Times New Roman"/>
          <w:lang w:val="en-ID"/>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performance","type":"article-journal","volume":"16"},"uris":["http://www.mendeley.com/documents/?uuid=4a09875d-05aa-4f50-a82b-9cff58ec886a"]},{"id":"ITEM-2","itemData":{"PMID":"38252772","abstract":"BACKGROUND: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Noviyanti","given":"Fitri","non-dropping-particle":"","parse-names":false,"suffix":""},{"dropping-particle":"","family":"Priyawan","given":"Sunu","non-dropping-particle":"","parse-names":false,"suffix":""}],"id":"ITEM-2","issue":"04","issued":{"date-parts":[["2025"]]},"page":"306-312","title":"PENGARUH GREEN ACCOUNTING, KINERJA LINGKUNGAN DAN CORPORATE SOCIAL RESPONSIBILITY TERHADAP NILAI PERUSAHAAN PADA PERUSAHAAN MANUFAKTUR SEKTOR INDUSTRI DASAR DAN KIMIA YANG TERDAFTAR DI BURSA EFEK INDONESIA","type":"article-journal","volume":"2"},"uris":["http://www.mendeley.com/documents/?uuid=15b0c2de-451c-46b9-b9d5-8287316fddaf"]},{"id":"ITEM-3","itemData":{"DOI":"10.25105/jet.v2i2.14321","abstract":"This study aims to examine the effect of environmental performance, corporate governance, and corporate social responsibility on the financial performance of food &amp; beverage companies on the Indonesia Stock Exchange in 2018 – 2020. The independent variables in this study are PROPER, Audit Committee, Proportion of Independent Commissioners, Ownership Managerial, Institutional Ownership, and CSR. While the dependent variable in this study is the company's financial performance. The sampling technique was carried out using the purposive sampling method, namely the technique of determining the sample with certain considerations. Data analysis techniques include (1) Descriptive Statistics (2) Classical Assumption Test includes Normality, Multicollinearity, Heteroscedasticity, and Autocorrelation (3) Multiple Linear Regression Testing (4) F Statistical Test (5) Hypothesis Testing (6) R2 Test. The sample used in this study is food &amp; beverage companies listed on the Indonesia Stock Exchange in 2018 - 2020, with a total of 31 companies per year and there are 93 research samples that meet the criteria. The results of this study conclude that the PROPER variable affects the company's financial performance, the audit committee variable, the proportion of independent commissioners, managerial ownership, institutional ownership affects the company's financial performance, and CSR has an effect on the company's financial performance. Tujuan penelitian guna menguji pengaruh environmental performance, corporate governance, dan corporate social responsibility terhadap kinerja keuangan perusahaan food &amp; beverage di Bursa Efek Indonesia pada tahun 2018 – 2020. PROPER, Komite Audit, Kepemilikan Manajerial, Proporsi Dewan Komisaris Independen, Kepemilikan Institusional, dan CSR dijadikan variabel bebas penelitian ini. Sementara kinerja keuangan perusahaan dijadikan variabel terikat penelitian ini. Metode purposive sampling dijadikan sebagai teknik sampling yakni dengan mengacu suatu pertimbangan khusus. Data dianalisis melalui teknik (1) Statistik Deskriptif (2) Uji Asumsi Klasik (3) Analisis Regresi Linear Berganda (4) Uji Hipotesis (5) Uji Statistik F (6) Uji R2. Sejumlah 31 perusahaan food &amp; beverage yang terdaftar di Bursa Efek Indonesia tahun 2018 – 2020 dijadikan sampel penelitian ini serta serta sampel yang sesuai kriteria didapatkan sejumlah 93. Penelitian menghasilkan yaitu variabel PROPER berpengaruh terhadap kinerja keuangan perusahaan, variabel komite audit, prop…","author":[{"dropping-particle":"","family":"Solihah","given":"Ai Pupung","non-dropping-particle":"","parse-names":false,"suffix":""},{"dropping-particle":"","family":"Fadilah","given":"Sri","non-dropping-particle":"","parse-names":false,"suffix":""}],"container-title":"Jurnal Ekonomi Trisakti","id":"ITEM-3","issue":"2","issued":{"date-parts":[["2022"]]},"page":"475-486","title":"Pengaruh Environmental Performance, Corporate Governance, Dan Corporate Social Responsibility Terhadap Kinerja Keuangan","type":"article-journal","volume":"2"},"uris":["http://www.mendeley.com/documents/?uuid=72aede2d-bf2e-48ec-8e80-290ba1d6fc4d"]}],"mendeley":{"formattedCitation":"(Dakhli, 2021; Noviyanti &amp; Priyawan, 2025; Solihah &amp; Fadilah, 2022)","plainTextFormattedCitation":"(Dakhli, 2021; Noviyanti &amp; Priyawan, 2025; Solihah &amp; Fadilah, 2022)","previouslyFormattedCitation":"(Dakhli, 2021; Noviyanti &amp; Priyawan, 2025; Solihah &amp; Fadilah, 2022)"},"properties":{"noteIndex":0},"schema":"https://github.com/citation-style-language/schema/raw/master/csl-citation.json"}</w:instrText>
      </w:r>
      <w:r w:rsidR="00163A09">
        <w:rPr>
          <w:rFonts w:cs="Times New Roman"/>
          <w:lang w:val="en-ID"/>
        </w:rPr>
        <w:fldChar w:fldCharType="separate"/>
      </w:r>
      <w:r w:rsidR="00163A09" w:rsidRPr="00163A09">
        <w:rPr>
          <w:rFonts w:cs="Times New Roman"/>
          <w:noProof/>
          <w:lang w:val="en-ID"/>
        </w:rPr>
        <w:t>(Dakhli, 2021; Noviyanti &amp; Priyawan, 2025; Solihah &amp; Fadilah, 2022)</w:t>
      </w:r>
      <w:r w:rsidR="00163A09">
        <w:rPr>
          <w:rFonts w:cs="Times New Roman"/>
          <w:lang w:val="en-ID"/>
        </w:rPr>
        <w:fldChar w:fldCharType="end"/>
      </w:r>
      <w:r w:rsidR="00163A09">
        <w:rPr>
          <w:rFonts w:cs="Times New Roman"/>
          <w:lang w:val="en-ID"/>
        </w:rPr>
        <w:t xml:space="preserve">. </w:t>
      </w:r>
      <w:r w:rsidRPr="006B0292">
        <w:rPr>
          <w:rFonts w:cs="Times New Roman"/>
          <w:lang w:val="en-ID"/>
        </w:rPr>
        <w:t xml:space="preserve">Sementara itu, pengungkapan CSR pada beberapa </w:t>
      </w:r>
      <w:r w:rsidRPr="006B0292">
        <w:rPr>
          <w:rFonts w:cs="Times New Roman"/>
          <w:lang w:val="en-ID"/>
        </w:rPr>
        <w:lastRenderedPageBreak/>
        <w:t>penelitian lain menunjukkan hasil yang belum seragam, di mana sebagian aspek terbukti berdampak positif terhadap kinerja perusahaan, sedangkan aspek lainnya belum memberikan pengaruh yang konsisten</w:t>
      </w:r>
      <w:r w:rsidR="00163A09">
        <w:rPr>
          <w:rFonts w:cs="Times New Roman"/>
          <w:lang w:val="en-ID"/>
        </w:rPr>
        <w:t xml:space="preserve"> </w:t>
      </w:r>
      <w:r w:rsidR="00163A09">
        <w:rPr>
          <w:rFonts w:cs="Times New Roman"/>
          <w:lang w:val="en-ID"/>
        </w:rPr>
        <w:fldChar w:fldCharType="begin" w:fldLock="1"/>
      </w:r>
      <w:r w:rsidR="00163A09">
        <w:rPr>
          <w:rFonts w:cs="Times New Roman"/>
          <w:lang w:val="en-ID"/>
        </w:rPr>
        <w:instrText>ADDIN CSL_CITATION {"citationItems":[{"id":"ITEM-1","itemData":{"DOI":"10.56910/gemilang.v5i3.2189","ISSN":"2962-4428","abstract":"The rising levels of greenhouse gas emissions, environmental crises, and social conflicts in the energy and mining sectors underscore the urgency of adopting sustainability principles through environmental, social, and governance (ESG) disclosures. This study aims to examine the relationship between the intensity of ESG disclosure and corporate performance, as measured by the Return On Assets (ROA). A quantitative approach was employed using secondary data obtained from annual and sustainability reports of 37 energy and mining companies listed on the Indonesia Stock Exchange during the 2021–2023 period. The sample was selected through purposive sampling based on the completeness of ESG reporting in accordance with GRI standards. Data analysis was conducted using multiple linear regression with the assistance of SPSS version 25. The findings reveal that environmental and social disclosures are associated with corporate performance, while governance disclosure does not show a significant relationship. These results highlight the need to strengthen the substance and implementation of sustainability-oriented governance practices. This study recommends ongoing evaluation of ESG reporting practices and the adoption of more comprehensive measurement indicators to enhance overall corporate performance.","author":[{"dropping-particle":"","family":"Fitria","given":"Annisa Nur","non-dropping-particle":"","parse-names":false,"suffix":""},{"dropping-particle":"","family":"Mariana","given":"","non-dropping-particle":"","parse-names":false,"suffix":""}],"container-title":"GEMILANG: Jurnal Manajemen dan Akuntansi","id":"ITEM-1","issue":"3","issued":{"date-parts":[["2025"]]},"page":"190-205","title":"Pengaruh Pengungkapan Environmental, Social, dan Governance (ESG) Terhadap Kinerja Perusahaan Energi dan Pertambangan","type":"article-journal","volume":"5"},"uris":["http://www.mendeley.com/documents/?uuid=5b575a9a-67aa-4b31-96a7-5c157108e425"]},{"id":"ITEM-2","itemData":{"DOI":"10.25105/jet.v2i2.14321","abstract":"This study aims to examine the effect of environmental performance, corporate governance, and corporate social responsibility on the financial performance of food &amp; beverage companies on the Indonesia Stock Exchange in 2018 – 2020. The independent variables in this study are PROPER, Audit Committee, Proportion of Independent Commissioners, Ownership Managerial, Institutional Ownership, and CSR. While the dependent variable in this study is the company's financial performance. The sampling technique was carried out using the purposive sampling method, namely the technique of determining the sample with certain considerations. Data analysis techniques include (1) Descriptive Statistics (2) Classical Assumption Test includes Normality, Multicollinearity, Heteroscedasticity, and Autocorrelation (3) Multiple Linear Regression Testing (4) F Statistical Test (5) Hypothesis Testing (6) R2 Test. The sample used in this study is food &amp; beverage companies listed on the Indonesia Stock Exchange in 2018 - 2020, with a total of 31 companies per year and there are 93 research samples that meet the criteria. The results of this study conclude that the PROPER variable affects the company's financial performance, the audit committee variable, the proportion of independent commissioners, managerial ownership, institutional ownership affects the company's financial performance, and CSR has an effect on the company's financial performance. Tujuan penelitian guna menguji pengaruh environmental performance, corporate governance, dan corporate social responsibility terhadap kinerja keuangan perusahaan food &amp; beverage di Bursa Efek Indonesia pada tahun 2018 – 2020. PROPER, Komite Audit, Kepemilikan Manajerial, Proporsi Dewan Komisaris Independen, Kepemilikan Institusional, dan CSR dijadikan variabel bebas penelitian ini. Sementara kinerja keuangan perusahaan dijadikan variabel terikat penelitian ini. Metode purposive sampling dijadikan sebagai teknik sampling yakni dengan mengacu suatu pertimbangan khusus. Data dianalisis melalui teknik (1) Statistik Deskriptif (2) Uji Asumsi Klasik (3) Analisis Regresi Linear Berganda (4) Uji Hipotesis (5) Uji Statistik F (6) Uji R2. Sejumlah 31 perusahaan food &amp; beverage yang terdaftar di Bursa Efek Indonesia tahun 2018 – 2020 dijadikan sampel penelitian ini serta serta sampel yang sesuai kriteria didapatkan sejumlah 93. Penelitian menghasilkan yaitu variabel PROPER berpengaruh terhadap kinerja keuangan perusahaan, variabel komite audit, prop…","author":[{"dropping-particle":"","family":"Solihah","given":"Ai Pupung","non-dropping-particle":"","parse-names":false,"suffix":""},{"dropping-particle":"","family":"Fadilah","given":"Sri","non-dropping-particle":"","parse-names":false,"suffix":""}],"container-title":"Jurnal Ekonomi Trisakti","id":"ITEM-2","issue":"2","issued":{"date-parts":[["2022"]]},"page":"475-486","title":"Pengaruh Environmental Performance, Corporate Governance, Dan Corporate Social Responsibility Terhadap Kinerja Keuangan","type":"article-journal","volume":"2"},"uris":["http://www.mendeley.com/documents/?uuid=72aede2d-bf2e-48ec-8e80-290ba1d6fc4d"]}],"mendeley":{"formattedCitation":"(Fitria &amp; Mariana, 2025; Solihah &amp; Fadilah, 2022)","plainTextFormattedCitation":"(Fitria &amp; Mariana, 2025; Solihah &amp; Fadilah, 2022)","previouslyFormattedCitation":"(Fitria &amp; Mariana, 2025; Solihah &amp; Fadilah, 2022)"},"properties":{"noteIndex":0},"schema":"https://github.com/citation-style-language/schema/raw/master/csl-citation.json"}</w:instrText>
      </w:r>
      <w:r w:rsidR="00163A09">
        <w:rPr>
          <w:rFonts w:cs="Times New Roman"/>
          <w:lang w:val="en-ID"/>
        </w:rPr>
        <w:fldChar w:fldCharType="separate"/>
      </w:r>
      <w:r w:rsidR="00163A09" w:rsidRPr="00163A09">
        <w:rPr>
          <w:rFonts w:cs="Times New Roman"/>
          <w:noProof/>
          <w:lang w:val="en-ID"/>
        </w:rPr>
        <w:t>(Fitria &amp; Mariana, 2025; Solihah &amp; Fadilah, 2022)</w:t>
      </w:r>
      <w:r w:rsidR="00163A09">
        <w:rPr>
          <w:rFonts w:cs="Times New Roman"/>
          <w:lang w:val="en-ID"/>
        </w:rPr>
        <w:fldChar w:fldCharType="end"/>
      </w:r>
      <w:r w:rsidR="00163A09">
        <w:rPr>
          <w:rFonts w:cs="Times New Roman"/>
          <w:lang w:val="en-ID"/>
        </w:rPr>
        <w:t>.</w:t>
      </w:r>
    </w:p>
    <w:p w14:paraId="23123FD6" w14:textId="63A70890" w:rsidR="006B0292" w:rsidRDefault="00E56B75" w:rsidP="00BB16BE">
      <w:pPr>
        <w:pStyle w:val="BodyText"/>
        <w:spacing w:before="179"/>
        <w:ind w:left="0"/>
        <w:rPr>
          <w:rFonts w:cs="Times New Roman"/>
          <w:lang w:val="en-ID"/>
        </w:rPr>
      </w:pPr>
      <w:r>
        <w:rPr>
          <w:rFonts w:cs="Times New Roman"/>
          <w:lang w:val="en-ID"/>
        </w:rPr>
        <w:tab/>
      </w:r>
      <w:r w:rsidR="00C31B70">
        <w:rPr>
          <w:rFonts w:cs="Times New Roman"/>
          <w:lang w:val="en-ID"/>
        </w:rPr>
        <w:t>S</w:t>
      </w:r>
      <w:r w:rsidR="006B0292" w:rsidRPr="006B0292">
        <w:rPr>
          <w:rFonts w:cs="Times New Roman"/>
          <w:lang w:val="en-ID"/>
        </w:rPr>
        <w:t>truktur kepemilikan khususnya kepemilikan institusional terbukti berperan penting dalam meningkatkan kinerja dan nilai perusahaan, baik secara langsung maupun sebagai variabel pemoderasi</w:t>
      </w:r>
      <w:r w:rsidR="00163A09">
        <w:rPr>
          <w:rFonts w:cs="Times New Roman"/>
          <w:lang w:val="en-ID"/>
        </w:rPr>
        <w:t xml:space="preserve"> </w:t>
      </w:r>
      <w:r w:rsidR="00163A09">
        <w:rPr>
          <w:rFonts w:cs="Times New Roman"/>
          <w:lang w:val="en-ID"/>
        </w:rPr>
        <w:fldChar w:fldCharType="begin" w:fldLock="1"/>
      </w:r>
      <w:r w:rsidR="00163A09">
        <w:rPr>
          <w:rFonts w:cs="Times New Roman"/>
          <w:lang w:val="en-ID"/>
        </w:rPr>
        <w:instrText>ADDIN CSL_CITATION {"citationItems":[{"id":"ITEM-1","itemData":{"abstract":"… Kepemilikan manajerial merupakan kepemilikan saham yang dimiliki oleh … kepemilikan manajerial terhadap manajemen laba. Hasil ini membuktikan bahwa kepemilikan manajerial …","author":[{"dropping-particle":"","family":"Danendratama","given":"Daffa","non-dropping-particle":"","parse-names":false,"suffix":""},{"dropping-particle":"","family":"Dharma","given":"Amdi Very","non-dropping-particle":"","parse-names":false,"suffix":""}],"container-title":"Jurnal Akuntansi &amp; …","id":"ITEM-1","issue":"2","issued":{"date-parts":[["2026"]]},"page":"758-768","title":"Pengaruh Kepemilikan Institusional, Kepemilikan Manajerial, Jumlah Dewan Direksi, Proporsi Dewan Komisaris Independen …","type":"article-journal","volume":"6"},"uris":["http://www.mendeley.com/documents/?uuid=f940acd7-58b2-427f-bc22-ddb655cb0d56"]},{"id":"ITEM-2","itemData":{"DOI":"10.24843/eja.2025.v35.i07.p05","abstract":"Firm value is an indicator of a company's condition, reflected through its share price. This research aims to provide empirical evidence on the influence of Enterprise Risk Management (ERM) and profitability on firm value, as well as the moderating effect of institutional ownership on the relationships between ERM, profitability, and firm value. The population for this study consists of companies within the banking subsector listed on the Indonesia Stock Exchange (IDX) over the period 2020-2022. A nonprobability sampling method was utilized, yielding a sample of 63 observations. Data were analyzed using Moderated Regression Analysis. The results indicate that ERM and profitability positively impact firm value. Additionally, institutional ownership strengthens the effects of ERM and profitability on firm value.","author":[{"dropping-particle":"","family":"Sari","given":"Ni Putu Hanna Windu","non-dropping-particle":"","parse-names":false,"suffix":""},{"dropping-particle":"","family":"Kresnandra","given":"Anak Agung Ngurah Agung","non-dropping-particle":"","parse-names":false,"suffix":""},{"dropping-particle":"","family":"Sujana","given":"I Ketut","non-dropping-particle":"","parse-names":false,"suffix":""}],"container-title":"E-Jurnal Akuntansi","id":"ITEM-2","issue":"7","issued":{"date-parts":[["2025"]]},"page":"1949-1960","title":"Institutional Ownership as a Moderator in the Relationship Between Enterprise Risk Management, Profitability, and Firm Value","type":"article-journal","volume":"35"},"uris":["http://www.mendeley.com/documents/?uuid=b4390324-3dbb-4ce3-a63c-409caf369db5"]},{"id":"ITEM-3","itemData":{"author":[{"dropping-particle":"","family":"Aulia","given":"Nurul","non-dropping-particle":"","parse-names":false,"suffix":""},{"dropping-particle":"","family":"Hikmat","given":"Asep","non-dropping-particle":"","parse-names":false,"suffix":""},{"dropping-particle":"","family":"Nur","given":"Tuah","non-dropping-particle":"","parse-names":false,"suffix":""},{"dropping-particle":"","family":"Saleh","given":"Munandi","non-dropping-particle":"","parse-names":false,"suffix":""}],"id":"ITEM-3","issued":{"date-parts":[["2026"]]},"page":"64-76","title":"PENGARUH KEPEMILIKAN INSTITUSIONAL, KEPEMILIKAN MANAJERIAL, DAN KOMITE AUDIT TERHADAP NILAI PERUSAHAAN BANK BUMN PERIODE 2021-2024","type":"article-journal","volume":"8"},"uris":["http://www.mendeley.com/documents/?uuid=53e9780c-a424-4933-bc11-eb650ce8157c"]}],"mendeley":{"formattedCitation":"(Aulia et al., 2026; Danendratama &amp; Dharma, 2026; Sari et al., 2025)","plainTextFormattedCitation":"(Aulia et al., 2026; Danendratama &amp; Dharma, 2026; Sari et al., 2025)","previouslyFormattedCitation":"(Aulia et al., 2026; Danendratama &amp; Dharma, 2026; Sari et al., 2025)"},"properties":{"noteIndex":0},"schema":"https://github.com/citation-style-language/schema/raw/master/csl-citation.json"}</w:instrText>
      </w:r>
      <w:r w:rsidR="00163A09">
        <w:rPr>
          <w:rFonts w:cs="Times New Roman"/>
          <w:lang w:val="en-ID"/>
        </w:rPr>
        <w:fldChar w:fldCharType="separate"/>
      </w:r>
      <w:r w:rsidR="00163A09" w:rsidRPr="00163A09">
        <w:rPr>
          <w:rFonts w:cs="Times New Roman"/>
          <w:noProof/>
          <w:lang w:val="en-ID"/>
        </w:rPr>
        <w:t>(Aulia et al., 2026; Danendratama &amp; Dharma, 2026; Sari et al., 2025)</w:t>
      </w:r>
      <w:r w:rsidR="00163A09">
        <w:rPr>
          <w:rFonts w:cs="Times New Roman"/>
          <w:lang w:val="en-ID"/>
        </w:rPr>
        <w:fldChar w:fldCharType="end"/>
      </w:r>
      <w:r w:rsidR="006B0292" w:rsidRPr="006B0292">
        <w:rPr>
          <w:rFonts w:cs="Times New Roman"/>
          <w:lang w:val="en-ID"/>
        </w:rPr>
        <w:t xml:space="preserve">. </w:t>
      </w:r>
      <w:r w:rsidR="00C31B70">
        <w:rPr>
          <w:rFonts w:cs="Times New Roman"/>
          <w:lang w:val="en-ID"/>
        </w:rPr>
        <w:t>K</w:t>
      </w:r>
      <w:r w:rsidR="006B0292" w:rsidRPr="006B0292">
        <w:rPr>
          <w:rFonts w:cs="Times New Roman"/>
          <w:lang w:val="en-ID"/>
        </w:rPr>
        <w:t xml:space="preserve">etidakkonsistenan hasil antar penelitian diduga disebabkan oleh perbedaan sektor industri, periode pengamatan, serta proksi pengukuran yang digunakan, sehingga masih terdapat </w:t>
      </w:r>
      <w:r w:rsidR="006B0292" w:rsidRPr="006B0292">
        <w:rPr>
          <w:rFonts w:cs="Times New Roman"/>
          <w:i/>
          <w:iCs/>
          <w:lang w:val="en-ID"/>
        </w:rPr>
        <w:t>research gap</w:t>
      </w:r>
      <w:r w:rsidR="006B0292" w:rsidRPr="006B0292">
        <w:rPr>
          <w:rFonts w:cs="Times New Roman"/>
          <w:lang w:val="en-ID"/>
        </w:rPr>
        <w:t xml:space="preserve"> yang relevan untuk dikaji lebih lanjut.</w:t>
      </w:r>
    </w:p>
    <w:p w14:paraId="232BF478" w14:textId="77777777" w:rsidR="00BB16BE" w:rsidRPr="006B0292" w:rsidRDefault="00BB16BE" w:rsidP="00BB16BE">
      <w:pPr>
        <w:pStyle w:val="BodyText"/>
        <w:spacing w:before="179"/>
        <w:ind w:left="0"/>
        <w:rPr>
          <w:rFonts w:cs="Times New Roman"/>
          <w:lang w:val="en-ID"/>
        </w:rPr>
      </w:pPr>
    </w:p>
    <w:p w14:paraId="0E27BBB4" w14:textId="425723AD" w:rsidR="006B0292" w:rsidRPr="006B0292" w:rsidRDefault="00E56B75" w:rsidP="00E56B75">
      <w:pPr>
        <w:pStyle w:val="Heading2"/>
        <w:rPr>
          <w:lang w:val="id-ID"/>
        </w:rPr>
      </w:pPr>
      <w:bookmarkStart w:id="17" w:name="_Toc235560217"/>
      <w:r>
        <w:rPr>
          <w:lang w:val="en-US"/>
        </w:rPr>
        <w:t>2.3</w:t>
      </w:r>
      <w:r>
        <w:rPr>
          <w:lang w:val="en-US"/>
        </w:rPr>
        <w:tab/>
      </w:r>
      <w:r>
        <w:rPr>
          <w:lang w:val="en-US"/>
        </w:rPr>
        <w:tab/>
      </w:r>
      <w:r w:rsidR="006B0292" w:rsidRPr="006B0292">
        <w:rPr>
          <w:lang w:val="id-ID"/>
        </w:rPr>
        <w:t>Kerangka Konseptual</w:t>
      </w:r>
      <w:bookmarkEnd w:id="17"/>
    </w:p>
    <w:p w14:paraId="321D8C0F" w14:textId="65F42AA5" w:rsidR="00E56B75" w:rsidRDefault="00E56B75" w:rsidP="00E56B75">
      <w:pPr>
        <w:pStyle w:val="BodyText"/>
        <w:spacing w:before="179"/>
        <w:ind w:left="0"/>
        <w:rPr>
          <w:rFonts w:cs="Times New Roman"/>
          <w:lang w:val="en-ID"/>
        </w:rPr>
      </w:pPr>
      <w:r>
        <w:rPr>
          <w:rFonts w:cs="Times New Roman"/>
          <w:lang w:val="en-ID"/>
        </w:rPr>
        <w:tab/>
      </w:r>
      <w:r w:rsidR="006B0292" w:rsidRPr="006B0292">
        <w:rPr>
          <w:rFonts w:cs="Times New Roman"/>
          <w:lang w:val="en-ID"/>
        </w:rPr>
        <w:t xml:space="preserve">Kerangka pemikiran dalam penelitian ini merupakan faktor-faktor yang mempengaruhi </w:t>
      </w:r>
      <w:r w:rsidR="006B0292" w:rsidRPr="006B0292">
        <w:rPr>
          <w:rFonts w:cs="Times New Roman"/>
          <w:i/>
          <w:iCs/>
          <w:lang w:val="en-ID"/>
        </w:rPr>
        <w:t>Corporate Social Responsibility</w:t>
      </w:r>
      <w:r w:rsidR="006B0292" w:rsidRPr="006B0292">
        <w:rPr>
          <w:rFonts w:cs="Times New Roman"/>
          <w:lang w:val="en-ID"/>
        </w:rPr>
        <w:t xml:space="preserve"> (CSR). Variabel yang digunakan dalam penelitian ini sebanyak 5 variabel yang terdiri dari 2 variabel independen, 1 variabel dependen, 1 variabel moderasi, dan 2 variabel kontrol. Variabel independen yang digunakan adalah Kepemilikan Manajerial (X1) dan Kepemilikan Institusional (X2). Variabel dependen yang digunakan adalah </w:t>
      </w:r>
      <w:r w:rsidR="006B0292" w:rsidRPr="006B0292">
        <w:rPr>
          <w:rFonts w:cs="Times New Roman"/>
          <w:i/>
          <w:iCs/>
          <w:lang w:val="en-ID"/>
        </w:rPr>
        <w:t>Corporate Social Responsibility</w:t>
      </w:r>
      <w:r w:rsidR="006B0292" w:rsidRPr="006B0292">
        <w:rPr>
          <w:rFonts w:cs="Times New Roman"/>
          <w:lang w:val="en-ID"/>
        </w:rPr>
        <w:t xml:space="preserve"> (Y). Selain itu, penelitian ini juga menggunakan Kinerja Perusahaan (M) sebagai variabel moderasi yang berperan dalam memperkuat atau memperlemah pengaruh kepemilikan manajerial dan kepemilikan institusional </w:t>
      </w:r>
      <w:r w:rsidR="006B0292" w:rsidRPr="006B0292">
        <w:rPr>
          <w:rFonts w:cs="Times New Roman"/>
          <w:lang w:val="en-ID"/>
        </w:rPr>
        <w:lastRenderedPageBreak/>
        <w:t xml:space="preserve">terhadap CSR, serta </w:t>
      </w:r>
      <w:r w:rsidR="006B0292" w:rsidRPr="006B0292">
        <w:rPr>
          <w:rFonts w:cs="Times New Roman"/>
          <w:i/>
          <w:iCs/>
          <w:lang w:val="en-ID"/>
        </w:rPr>
        <w:t>Leverage</w:t>
      </w:r>
      <w:r w:rsidR="006B0292" w:rsidRPr="006B0292">
        <w:rPr>
          <w:rFonts w:cs="Times New Roman"/>
          <w:lang w:val="en-ID"/>
        </w:rPr>
        <w:t xml:space="preserve"> Perusahaan dan Ukuran Perusahaan (K) sebagai variabel kontrol yang digunakan untuk mengendalikan pengaruh faktor-faktor lain di luar variabel utama penelitian. Kerangka pemikiran penelitian dapat dilihat pada gambar berikut:</w:t>
      </w:r>
    </w:p>
    <w:p w14:paraId="6314EEA8" w14:textId="77777777" w:rsidR="00E56B75" w:rsidRPr="006B0292" w:rsidRDefault="00E56B75" w:rsidP="00E56B75">
      <w:pPr>
        <w:pStyle w:val="BodyText"/>
        <w:spacing w:before="179"/>
        <w:ind w:left="0"/>
        <w:rPr>
          <w:rFonts w:cs="Times New Roman"/>
          <w:lang w:val="en-ID"/>
        </w:rPr>
      </w:pPr>
    </w:p>
    <w:p w14:paraId="43DAFB97" w14:textId="5E0759E8" w:rsidR="00E56B75" w:rsidRPr="00ED3408" w:rsidRDefault="00E56B75" w:rsidP="00E56B75">
      <w:pPr>
        <w:pStyle w:val="Caption"/>
        <w:keepNext/>
        <w:spacing w:line="240" w:lineRule="auto"/>
        <w:jc w:val="center"/>
        <w:rPr>
          <w:b/>
          <w:bCs/>
          <w:i w:val="0"/>
          <w:iCs w:val="0"/>
          <w:color w:val="auto"/>
          <w:sz w:val="24"/>
          <w:szCs w:val="24"/>
        </w:rPr>
      </w:pPr>
      <w:bookmarkStart w:id="18" w:name="_Toc234580662"/>
      <w:bookmarkStart w:id="19" w:name="_Toc235472760"/>
      <w:bookmarkStart w:id="20" w:name="_Toc235472773"/>
      <w:bookmarkStart w:id="21" w:name="_Toc235473156"/>
      <w:bookmarkStart w:id="22" w:name="_Toc235474008"/>
      <w:bookmarkStart w:id="23" w:name="_Toc235474261"/>
      <w:r w:rsidRPr="00ED3408">
        <w:rPr>
          <w:b/>
          <w:bCs/>
          <w:i w:val="0"/>
          <w:iCs w:val="0"/>
          <w:color w:val="auto"/>
          <w:sz w:val="24"/>
          <w:szCs w:val="24"/>
        </w:rPr>
        <w:t xml:space="preserve">Gambar </w:t>
      </w:r>
      <w:r w:rsidRPr="00ED3408">
        <w:rPr>
          <w:b/>
          <w:bCs/>
          <w:i w:val="0"/>
          <w:iCs w:val="0"/>
          <w:color w:val="auto"/>
          <w:sz w:val="24"/>
          <w:szCs w:val="24"/>
        </w:rPr>
        <w:fldChar w:fldCharType="begin"/>
      </w:r>
      <w:r w:rsidRPr="00ED3408">
        <w:rPr>
          <w:b/>
          <w:bCs/>
          <w:i w:val="0"/>
          <w:iCs w:val="0"/>
          <w:color w:val="auto"/>
          <w:sz w:val="24"/>
          <w:szCs w:val="24"/>
        </w:rPr>
        <w:instrText xml:space="preserve"> SEQ Gambar \* ARABIC </w:instrText>
      </w:r>
      <w:r w:rsidRPr="00ED3408">
        <w:rPr>
          <w:b/>
          <w:bCs/>
          <w:i w:val="0"/>
          <w:iCs w:val="0"/>
          <w:color w:val="auto"/>
          <w:sz w:val="24"/>
          <w:szCs w:val="24"/>
        </w:rPr>
        <w:fldChar w:fldCharType="separate"/>
      </w:r>
      <w:r w:rsidR="0041550A">
        <w:rPr>
          <w:b/>
          <w:bCs/>
          <w:i w:val="0"/>
          <w:iCs w:val="0"/>
          <w:noProof/>
          <w:color w:val="auto"/>
          <w:sz w:val="24"/>
          <w:szCs w:val="24"/>
        </w:rPr>
        <w:t>2</w:t>
      </w:r>
      <w:r w:rsidRPr="00ED3408">
        <w:rPr>
          <w:b/>
          <w:bCs/>
          <w:i w:val="0"/>
          <w:iCs w:val="0"/>
          <w:color w:val="auto"/>
          <w:sz w:val="24"/>
          <w:szCs w:val="24"/>
        </w:rPr>
        <w:fldChar w:fldCharType="end"/>
      </w:r>
      <w:r w:rsidRPr="00ED3408">
        <w:rPr>
          <w:b/>
          <w:bCs/>
          <w:i w:val="0"/>
          <w:iCs w:val="0"/>
          <w:color w:val="auto"/>
          <w:sz w:val="24"/>
          <w:szCs w:val="24"/>
          <w:lang w:val="en-US"/>
        </w:rPr>
        <w:t>.1 Kerangka Pemikiran</w:t>
      </w:r>
      <w:bookmarkEnd w:id="18"/>
      <w:bookmarkEnd w:id="19"/>
      <w:bookmarkEnd w:id="20"/>
      <w:bookmarkEnd w:id="21"/>
      <w:bookmarkEnd w:id="22"/>
      <w:bookmarkEnd w:id="23"/>
    </w:p>
    <w:p w14:paraId="41BDE85B" w14:textId="7511587B" w:rsidR="006B0292" w:rsidRPr="006B0292" w:rsidRDefault="006B0292" w:rsidP="00ED3408">
      <w:pPr>
        <w:pStyle w:val="BodyText"/>
        <w:spacing w:before="179" w:line="417" w:lineRule="auto"/>
        <w:ind w:left="-142"/>
        <w:rPr>
          <w:rFonts w:cs="Times New Roman"/>
          <w:lang w:val="id-ID"/>
        </w:rPr>
      </w:pPr>
      <w:r w:rsidRPr="006B0292">
        <w:rPr>
          <w:rFonts w:cs="Times New Roman"/>
          <w:noProof/>
          <w:lang w:val="en-ID"/>
        </w:rPr>
        <mc:AlternateContent>
          <mc:Choice Requires="wpc">
            <w:drawing>
              <wp:inline distT="0" distB="0" distL="0" distR="0" wp14:anchorId="6E115671" wp14:editId="2CDE43F7">
                <wp:extent cx="4983480" cy="3031495"/>
                <wp:effectExtent l="0" t="0" r="26670" b="16510"/>
                <wp:docPr id="17" name="Canvas 17" descr="Kepemilikan Manajerial&#10;Kepemilikan Institusional&#10;CSR&#10;Kinerja Keuangan&#10;Variabel Kontrol&#1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s:wsp>
                        <wps:cNvPr id="2" name="Straight Arrow Connector 8"/>
                        <wps:cNvCnPr>
                          <a:cxnSpLocks noChangeShapeType="1"/>
                          <a:stCxn id="8" idx="3"/>
                          <a:endCxn id="10" idx="1"/>
                        </wps:cNvCnPr>
                        <wps:spPr bwMode="auto">
                          <a:xfrm>
                            <a:off x="1367099" y="405204"/>
                            <a:ext cx="2119052" cy="58933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 name="Straight Arrow Connector 9"/>
                        <wps:cNvCnPr>
                          <a:cxnSpLocks noChangeShapeType="1"/>
                          <a:endCxn id="10" idx="1"/>
                        </wps:cNvCnPr>
                        <wps:spPr bwMode="auto">
                          <a:xfrm flipV="1">
                            <a:off x="1367099" y="994539"/>
                            <a:ext cx="2119052" cy="796359"/>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 name="Straight Arrow Connector 10"/>
                        <wps:cNvCnPr>
                          <a:cxnSpLocks noChangeShapeType="1"/>
                        </wps:cNvCnPr>
                        <wps:spPr bwMode="auto">
                          <a:xfrm flipH="1" flipV="1">
                            <a:off x="2254054" y="652012"/>
                            <a:ext cx="1" cy="170187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 name="Straight Arrow Connector 11"/>
                        <wps:cNvCnPr>
                          <a:cxnSpLocks noChangeShapeType="1"/>
                        </wps:cNvCnPr>
                        <wps:spPr bwMode="auto">
                          <a:xfrm flipH="1" flipV="1">
                            <a:off x="2663011" y="1325725"/>
                            <a:ext cx="1848" cy="107525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 name="Straight Arrow Connector 12"/>
                        <wps:cNvCnPr>
                          <a:cxnSpLocks noChangeShapeType="1"/>
                        </wps:cNvCnPr>
                        <wps:spPr bwMode="auto">
                          <a:xfrm flipV="1">
                            <a:off x="4236899" y="1455088"/>
                            <a:ext cx="0" cy="605214"/>
                          </a:xfrm>
                          <a:prstGeom prst="straightConnector1">
                            <a:avLst/>
                          </a:prstGeom>
                          <a:noFill/>
                          <a:ln w="9525">
                            <a:solidFill>
                              <a:schemeClr val="dk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8" name="Text Box 19"/>
                        <wps:cNvSpPr txBox="1">
                          <a:spLocks noChangeArrowheads="1"/>
                        </wps:cNvSpPr>
                        <wps:spPr bwMode="auto">
                          <a:xfrm>
                            <a:off x="35999" y="36004"/>
                            <a:ext cx="1331100" cy="738400"/>
                          </a:xfrm>
                          <a:prstGeom prst="rect">
                            <a:avLst/>
                          </a:prstGeom>
                          <a:solidFill>
                            <a:schemeClr val="lt1">
                              <a:lumMod val="100000"/>
                              <a:lumOff val="0"/>
                            </a:schemeClr>
                          </a:solidFill>
                          <a:ln w="6350">
                            <a:solidFill>
                              <a:srgbClr val="000000"/>
                            </a:solidFill>
                            <a:miter lim="800000"/>
                            <a:headEnd/>
                            <a:tailEnd/>
                          </a:ln>
                        </wps:spPr>
                        <wps:txbx>
                          <w:txbxContent>
                            <w:p w14:paraId="43918194" w14:textId="77777777" w:rsidR="00383280" w:rsidRPr="0064142F" w:rsidRDefault="00383280" w:rsidP="0064142F">
                              <w:pPr>
                                <w:spacing w:line="240" w:lineRule="auto"/>
                                <w:jc w:val="center"/>
                                <w:rPr>
                                  <w:rFonts w:eastAsia="Calibri" w:cs="Times New Roman"/>
                                </w:rPr>
                              </w:pPr>
                              <w:r w:rsidRPr="0064142F">
                                <w:rPr>
                                  <w:rFonts w:eastAsia="Calibri" w:cs="Times New Roman"/>
                                </w:rPr>
                                <w:t>KEPEMILIKAN</w:t>
                              </w:r>
                            </w:p>
                            <w:p w14:paraId="4024D458" w14:textId="77777777" w:rsidR="00383280" w:rsidRPr="0064142F" w:rsidRDefault="00383280" w:rsidP="0064142F">
                              <w:pPr>
                                <w:spacing w:line="240" w:lineRule="auto"/>
                                <w:jc w:val="center"/>
                                <w:rPr>
                                  <w:rFonts w:eastAsia="Calibri" w:cs="Times New Roman"/>
                                </w:rPr>
                              </w:pPr>
                              <w:r w:rsidRPr="0064142F">
                                <w:rPr>
                                  <w:rFonts w:eastAsia="Calibri" w:cs="Times New Roman"/>
                                </w:rPr>
                                <w:t>MANAJERIAL      (X1)</w:t>
                              </w:r>
                            </w:p>
                          </w:txbxContent>
                        </wps:txbx>
                        <wps:bodyPr rot="0" vert="horz" wrap="square" lIns="91440" tIns="45720" rIns="91440" bIns="45720" anchor="t" anchorCtr="0" upright="1">
                          <a:noAutofit/>
                        </wps:bodyPr>
                      </wps:wsp>
                      <wps:wsp>
                        <wps:cNvPr id="9" name="Text Box 19"/>
                        <wps:cNvSpPr txBox="1">
                          <a:spLocks noChangeArrowheads="1"/>
                        </wps:cNvSpPr>
                        <wps:spPr bwMode="auto">
                          <a:xfrm>
                            <a:off x="6350" y="1427603"/>
                            <a:ext cx="1360649" cy="731398"/>
                          </a:xfrm>
                          <a:prstGeom prst="rect">
                            <a:avLst/>
                          </a:prstGeom>
                          <a:solidFill>
                            <a:schemeClr val="lt1">
                              <a:lumMod val="100000"/>
                              <a:lumOff val="0"/>
                            </a:schemeClr>
                          </a:solidFill>
                          <a:ln w="6350">
                            <a:solidFill>
                              <a:srgbClr val="000000"/>
                            </a:solidFill>
                            <a:miter lim="800000"/>
                            <a:headEnd/>
                            <a:tailEnd/>
                          </a:ln>
                        </wps:spPr>
                        <wps:txbx>
                          <w:txbxContent>
                            <w:p w14:paraId="0C87B74D" w14:textId="77777777" w:rsidR="00383280" w:rsidRPr="0064142F" w:rsidRDefault="00383280" w:rsidP="0064142F">
                              <w:pPr>
                                <w:spacing w:line="240" w:lineRule="auto"/>
                                <w:jc w:val="center"/>
                                <w:rPr>
                                  <w:rFonts w:eastAsia="Calibri" w:cs="Times New Roman"/>
                                </w:rPr>
                              </w:pPr>
                              <w:r w:rsidRPr="0064142F">
                                <w:rPr>
                                  <w:rFonts w:eastAsia="Calibri" w:cs="Times New Roman"/>
                                </w:rPr>
                                <w:t>KEPEMILIKAN</w:t>
                              </w:r>
                            </w:p>
                            <w:p w14:paraId="4D8FCEA0" w14:textId="77777777" w:rsidR="00383280" w:rsidRPr="0064142F" w:rsidRDefault="00383280" w:rsidP="0064142F">
                              <w:pPr>
                                <w:spacing w:line="240" w:lineRule="auto"/>
                                <w:jc w:val="center"/>
                                <w:rPr>
                                  <w:rFonts w:eastAsia="Calibri" w:cs="Times New Roman"/>
                                </w:rPr>
                              </w:pPr>
                              <w:r w:rsidRPr="0064142F">
                                <w:rPr>
                                  <w:rFonts w:eastAsia="Calibri" w:cs="Times New Roman"/>
                                </w:rPr>
                                <w:t>INSTITUSIONAL    (X2)</w:t>
                              </w:r>
                            </w:p>
                          </w:txbxContent>
                        </wps:txbx>
                        <wps:bodyPr rot="0" vert="horz" wrap="square" lIns="91440" tIns="45720" rIns="91440" bIns="45720" anchor="t" anchorCtr="0" upright="1">
                          <a:noAutofit/>
                        </wps:bodyPr>
                      </wps:wsp>
                      <wps:wsp>
                        <wps:cNvPr id="10" name="Text Box 19"/>
                        <wps:cNvSpPr txBox="1">
                          <a:spLocks noChangeArrowheads="1"/>
                        </wps:cNvSpPr>
                        <wps:spPr bwMode="auto">
                          <a:xfrm>
                            <a:off x="3486151" y="549899"/>
                            <a:ext cx="1497329" cy="889283"/>
                          </a:xfrm>
                          <a:prstGeom prst="rect">
                            <a:avLst/>
                          </a:prstGeom>
                          <a:solidFill>
                            <a:schemeClr val="lt1">
                              <a:lumMod val="100000"/>
                              <a:lumOff val="0"/>
                            </a:schemeClr>
                          </a:solidFill>
                          <a:ln w="6350">
                            <a:solidFill>
                              <a:srgbClr val="000000"/>
                            </a:solidFill>
                            <a:miter lim="800000"/>
                            <a:headEnd/>
                            <a:tailEnd/>
                          </a:ln>
                        </wps:spPr>
                        <wps:txbx>
                          <w:txbxContent>
                            <w:p w14:paraId="3510B5CE" w14:textId="77777777" w:rsidR="00383280" w:rsidRPr="0064142F" w:rsidRDefault="00383280" w:rsidP="0064142F">
                              <w:pPr>
                                <w:spacing w:line="240" w:lineRule="auto"/>
                                <w:jc w:val="center"/>
                                <w:rPr>
                                  <w:rFonts w:eastAsia="Calibri" w:cs="Times New Roman"/>
                                </w:rPr>
                              </w:pPr>
                              <w:r w:rsidRPr="0064142F">
                                <w:rPr>
                                  <w:rFonts w:eastAsia="Calibri" w:cs="Times New Roman"/>
                                  <w:i/>
                                  <w:iCs/>
                                </w:rPr>
                                <w:t>CORPORATE SOCIAL RESPONSIBILITY</w:t>
                              </w:r>
                              <w:r w:rsidRPr="0064142F">
                                <w:rPr>
                                  <w:rFonts w:eastAsia="Calibri" w:cs="Times New Roman"/>
                                </w:rPr>
                                <w:t xml:space="preserve">     (Y)</w:t>
                              </w:r>
                            </w:p>
                          </w:txbxContent>
                        </wps:txbx>
                        <wps:bodyPr rot="0" vert="horz" wrap="square" lIns="91440" tIns="45720" rIns="91440" bIns="45720" anchor="t" anchorCtr="0" upright="1">
                          <a:noAutofit/>
                        </wps:bodyPr>
                      </wps:wsp>
                      <wps:wsp>
                        <wps:cNvPr id="11" name="Text Box 19"/>
                        <wps:cNvSpPr txBox="1">
                          <a:spLocks noChangeArrowheads="1"/>
                        </wps:cNvSpPr>
                        <wps:spPr bwMode="auto">
                          <a:xfrm>
                            <a:off x="1796098" y="2362600"/>
                            <a:ext cx="1296351" cy="668890"/>
                          </a:xfrm>
                          <a:prstGeom prst="rect">
                            <a:avLst/>
                          </a:prstGeom>
                          <a:solidFill>
                            <a:schemeClr val="lt1">
                              <a:lumMod val="100000"/>
                              <a:lumOff val="0"/>
                            </a:schemeClr>
                          </a:solidFill>
                          <a:ln w="6350">
                            <a:solidFill>
                              <a:srgbClr val="000000"/>
                            </a:solidFill>
                            <a:miter lim="800000"/>
                            <a:headEnd/>
                            <a:tailEnd/>
                          </a:ln>
                        </wps:spPr>
                        <wps:txbx>
                          <w:txbxContent>
                            <w:p w14:paraId="7FB92ECE" w14:textId="2FFF17F3" w:rsidR="00383280" w:rsidRPr="0064142F" w:rsidRDefault="00383280" w:rsidP="0064142F">
                              <w:pPr>
                                <w:spacing w:line="240" w:lineRule="auto"/>
                                <w:jc w:val="center"/>
                                <w:rPr>
                                  <w:rFonts w:eastAsia="Calibri" w:cs="Times New Roman"/>
                                </w:rPr>
                              </w:pPr>
                              <w:r w:rsidRPr="0064142F">
                                <w:rPr>
                                  <w:rFonts w:eastAsia="Calibri" w:cs="Times New Roman"/>
                                </w:rPr>
                                <w:t>KINERJA PERUSAHAAN            (</w:t>
                              </w:r>
                              <w:r w:rsidRPr="0064142F">
                                <w:rPr>
                                  <w:rFonts w:eastAsia="Calibri" w:cs="Times New Roman"/>
                                  <w:lang w:val="en-US"/>
                                </w:rPr>
                                <w:t>Z</w:t>
                              </w:r>
                              <w:r w:rsidRPr="0064142F">
                                <w:rPr>
                                  <w:rFonts w:eastAsia="Calibri" w:cs="Times New Roman"/>
                                </w:rPr>
                                <w:t>)</w:t>
                              </w:r>
                            </w:p>
                          </w:txbxContent>
                        </wps:txbx>
                        <wps:bodyPr rot="0" vert="horz" wrap="square" lIns="91440" tIns="45720" rIns="91440" bIns="45720" anchor="t" anchorCtr="0" upright="1">
                          <a:noAutofit/>
                        </wps:bodyPr>
                      </wps:wsp>
                      <wps:wsp>
                        <wps:cNvPr id="12" name="Text Box 19"/>
                        <wps:cNvSpPr txBox="1">
                          <a:spLocks noChangeArrowheads="1"/>
                        </wps:cNvSpPr>
                        <wps:spPr bwMode="auto">
                          <a:xfrm>
                            <a:off x="3619500" y="1917219"/>
                            <a:ext cx="1276350" cy="1080415"/>
                          </a:xfrm>
                          <a:prstGeom prst="rect">
                            <a:avLst/>
                          </a:prstGeom>
                          <a:solidFill>
                            <a:schemeClr val="lt1">
                              <a:lumMod val="100000"/>
                              <a:lumOff val="0"/>
                            </a:schemeClr>
                          </a:solidFill>
                          <a:ln w="6350">
                            <a:solidFill>
                              <a:srgbClr val="000000"/>
                            </a:solidFill>
                            <a:miter lim="800000"/>
                            <a:headEnd/>
                            <a:tailEnd/>
                          </a:ln>
                        </wps:spPr>
                        <wps:txbx>
                          <w:txbxContent>
                            <w:p w14:paraId="4C76A958" w14:textId="77777777" w:rsidR="00383280" w:rsidRPr="0064142F" w:rsidRDefault="00383280" w:rsidP="0064142F">
                              <w:pPr>
                                <w:spacing w:line="240" w:lineRule="auto"/>
                                <w:jc w:val="center"/>
                                <w:rPr>
                                  <w:rFonts w:eastAsia="Calibri" w:cs="Times New Roman"/>
                                </w:rPr>
                              </w:pPr>
                              <w:r w:rsidRPr="0064142F">
                                <w:rPr>
                                  <w:rFonts w:eastAsia="Calibri" w:cs="Times New Roman"/>
                                </w:rPr>
                                <w:t>LEVERAGE PERUSAHAAN &amp; UKURAN PERUSAHAAN  (K)</w:t>
                              </w:r>
                            </w:p>
                          </w:txbxContent>
                        </wps:txbx>
                        <wps:bodyPr rot="0" vert="horz" wrap="square" lIns="91440" tIns="45720" rIns="91440" bIns="45720" anchor="t" anchorCtr="0" upright="1">
                          <a:noAutofit/>
                        </wps:bodyPr>
                      </wps:wsp>
                      <wps:wsp>
                        <wps:cNvPr id="13" name="Text Box 20"/>
                        <wps:cNvSpPr txBox="1">
                          <a:spLocks noChangeArrowheads="1"/>
                        </wps:cNvSpPr>
                        <wps:spPr bwMode="auto">
                          <a:xfrm>
                            <a:off x="2289304" y="385909"/>
                            <a:ext cx="763996"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33490" w14:textId="79A74CD5" w:rsidR="00383280" w:rsidRDefault="00383280" w:rsidP="0064142F">
                              <w:pPr>
                                <w:spacing w:line="240" w:lineRule="auto"/>
                                <w:rPr>
                                  <w:lang w:val="en-US"/>
                                </w:rPr>
                              </w:pPr>
                              <w:r>
                                <w:t>H</w:t>
                              </w:r>
                              <w:r>
                                <w:rPr>
                                  <w:lang w:val="en-US"/>
                                </w:rPr>
                                <w:t>1(+)</w:t>
                              </w:r>
                            </w:p>
                            <w:p w14:paraId="223B7680" w14:textId="77777777" w:rsidR="00383280" w:rsidRPr="00163A09" w:rsidRDefault="00383280" w:rsidP="006B0292">
                              <w:pPr>
                                <w:rPr>
                                  <w:lang w:val="en-US"/>
                                </w:rPr>
                              </w:pPr>
                            </w:p>
                            <w:p w14:paraId="2C0423FF" w14:textId="77777777" w:rsidR="00383280" w:rsidRDefault="00383280" w:rsidP="006B0292"/>
                          </w:txbxContent>
                        </wps:txbx>
                        <wps:bodyPr rot="0" vert="horz" wrap="square" lIns="91440" tIns="45720" rIns="91440" bIns="45720" anchor="t" anchorCtr="0" upright="1">
                          <a:noAutofit/>
                        </wps:bodyPr>
                      </wps:wsp>
                      <wps:wsp>
                        <wps:cNvPr id="14" name="Text Box 20"/>
                        <wps:cNvSpPr txBox="1">
                          <a:spLocks noChangeArrowheads="1"/>
                        </wps:cNvSpPr>
                        <wps:spPr bwMode="auto">
                          <a:xfrm>
                            <a:off x="2823663" y="1201262"/>
                            <a:ext cx="771547"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A0BD9" w14:textId="4801DB89" w:rsidR="00383280" w:rsidRDefault="00383280" w:rsidP="006B0292">
                              <w:pPr>
                                <w:spacing w:line="254" w:lineRule="auto"/>
                                <w:rPr>
                                  <w:rFonts w:eastAsia="Calibri"/>
                                  <w:lang w:val="en-US"/>
                                </w:rPr>
                              </w:pPr>
                              <w:r>
                                <w:rPr>
                                  <w:rFonts w:eastAsia="Calibri"/>
                                </w:rPr>
                                <w:t>H2</w:t>
                              </w:r>
                              <w:r>
                                <w:rPr>
                                  <w:rFonts w:eastAsia="Calibri"/>
                                  <w:lang w:val="en-US"/>
                                </w:rPr>
                                <w:t>(+)</w:t>
                              </w:r>
                            </w:p>
                            <w:p w14:paraId="0A50048B" w14:textId="77777777" w:rsidR="00383280" w:rsidRPr="00163A09" w:rsidRDefault="00383280" w:rsidP="006B0292">
                              <w:pPr>
                                <w:spacing w:line="254" w:lineRule="auto"/>
                                <w:rPr>
                                  <w:rFonts w:eastAsia="Calibri"/>
                                  <w:lang w:val="en-US"/>
                                </w:rPr>
                              </w:pPr>
                            </w:p>
                            <w:p w14:paraId="2CF55176" w14:textId="77777777" w:rsidR="00383280" w:rsidRDefault="00383280" w:rsidP="006B0292">
                              <w:pPr>
                                <w:spacing w:line="254" w:lineRule="auto"/>
                                <w:rPr>
                                  <w:rFonts w:eastAsia="Calibri"/>
                                </w:rPr>
                              </w:pPr>
                              <w:r>
                                <w:rPr>
                                  <w:rFonts w:eastAsia="Calibri"/>
                                </w:rPr>
                                <w:t> </w:t>
                              </w:r>
                            </w:p>
                          </w:txbxContent>
                        </wps:txbx>
                        <wps:bodyPr rot="0" vert="horz" wrap="square" lIns="91440" tIns="45720" rIns="91440" bIns="45720" anchor="t" anchorCtr="0" upright="1">
                          <a:noAutofit/>
                        </wps:bodyPr>
                      </wps:wsp>
                      <wps:wsp>
                        <wps:cNvPr id="15" name="Text Box 20"/>
                        <wps:cNvSpPr txBox="1">
                          <a:spLocks noChangeArrowheads="1"/>
                        </wps:cNvSpPr>
                        <wps:spPr bwMode="auto">
                          <a:xfrm>
                            <a:off x="1944416" y="888234"/>
                            <a:ext cx="448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1A8BE" w14:textId="77777777" w:rsidR="00383280" w:rsidRDefault="00383280" w:rsidP="006B0292">
                              <w:pPr>
                                <w:spacing w:line="254" w:lineRule="auto"/>
                                <w:rPr>
                                  <w:rFonts w:eastAsia="Calibri"/>
                                </w:rPr>
                              </w:pPr>
                              <w:r>
                                <w:rPr>
                                  <w:rFonts w:eastAsia="Calibri"/>
                                </w:rPr>
                                <w:t>H3</w:t>
                              </w:r>
                            </w:p>
                            <w:p w14:paraId="13535EE9" w14:textId="77777777" w:rsidR="00383280" w:rsidRDefault="00383280" w:rsidP="006B0292">
                              <w:pPr>
                                <w:spacing w:line="254" w:lineRule="auto"/>
                                <w:rPr>
                                  <w:rFonts w:eastAsia="Calibri"/>
                                </w:rPr>
                              </w:pPr>
                              <w:r>
                                <w:rPr>
                                  <w:rFonts w:eastAsia="Calibri"/>
                                </w:rPr>
                                <w:t> </w:t>
                              </w:r>
                            </w:p>
                          </w:txbxContent>
                        </wps:txbx>
                        <wps:bodyPr rot="0" vert="horz" wrap="square" lIns="91440" tIns="45720" rIns="91440" bIns="45720" anchor="t" anchorCtr="0" upright="1">
                          <a:noAutofit/>
                        </wps:bodyPr>
                      </wps:wsp>
                      <wps:wsp>
                        <wps:cNvPr id="16" name="Text Box 20"/>
                        <wps:cNvSpPr txBox="1">
                          <a:spLocks noChangeArrowheads="1"/>
                        </wps:cNvSpPr>
                        <wps:spPr bwMode="auto">
                          <a:xfrm>
                            <a:off x="2633096" y="1834440"/>
                            <a:ext cx="448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9637D" w14:textId="77777777" w:rsidR="00383280" w:rsidRDefault="00383280" w:rsidP="006B0292">
                              <w:pPr>
                                <w:spacing w:line="254" w:lineRule="auto"/>
                                <w:rPr>
                                  <w:rFonts w:eastAsia="Calibri"/>
                                </w:rPr>
                              </w:pPr>
                              <w:r>
                                <w:rPr>
                                  <w:rFonts w:eastAsia="Calibri"/>
                                </w:rPr>
                                <w:t>H4</w:t>
                              </w:r>
                            </w:p>
                            <w:p w14:paraId="480A94DE" w14:textId="77777777" w:rsidR="00383280" w:rsidRDefault="00383280" w:rsidP="006B0292">
                              <w:pPr>
                                <w:spacing w:line="254" w:lineRule="auto"/>
                                <w:rPr>
                                  <w:rFonts w:eastAsia="Calibri"/>
                                </w:rPr>
                              </w:pPr>
                              <w:r>
                                <w:rPr>
                                  <w:rFonts w:eastAsia="Calibri"/>
                                </w:rPr>
                                <w:t> </w:t>
                              </w:r>
                            </w:p>
                          </w:txbxContent>
                        </wps:txbx>
                        <wps:bodyPr rot="0" vert="horz" wrap="square" lIns="91440" tIns="45720" rIns="91440" bIns="45720" anchor="t" anchorCtr="0" upright="1">
                          <a:noAutofit/>
                        </wps:bodyPr>
                      </wps:wsp>
                    </wpc:wpc>
                  </a:graphicData>
                </a:graphic>
              </wp:inline>
            </w:drawing>
          </mc:Choice>
          <mc:Fallback>
            <w:pict>
              <v:group w14:anchorId="6E115671" id="Canvas 17" o:spid="_x0000_s1026" editas="canvas" alt="Kepemilikan Manajerial&#10;Kepemilikan Institusional&#10;CSR&#10;Kinerja Keuangan&#10;Variabel Kontrol&#10;" style="width:392.4pt;height:238.7pt;mso-position-horizontal-relative:char;mso-position-vertical-relative:line" coordsize="49834,30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epemilikan Manajerial&#10;Kepemilikan Institusional&#10;CSR&#10;Kinerja Keuangan&#10;Variabel Kontrol&#10;" style="position:absolute;width:49834;height:30314;visibility:visible;mso-wrap-style:square" filled="t">
                  <v:fill o:detectmouseclick="t"/>
                  <v:path o:connecttype="none"/>
                </v:shape>
                <v:shapetype id="_x0000_t32" coordsize="21600,21600" o:spt="32" o:oned="t" path="m,l21600,21600e" filled="f">
                  <v:path arrowok="t" fillok="f" o:connecttype="none"/>
                  <o:lock v:ext="edit" shapetype="t"/>
                </v:shapetype>
                <v:shape id="Straight Arrow Connector 8" o:spid="_x0000_s1028" type="#_x0000_t32" style="position:absolute;left:13670;top:4052;width:21191;height:58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" strokecolor="black [3200]" strokeweight=".5pt">
                  <v:stroke endarrow="block" joinstyle="miter"/>
                </v:shape>
                <v:shape id="Straight Arrow Connector 9" o:spid="_x0000_s1029" type="#_x0000_t32" style="position:absolute;left:13670;top:9945;width:21191;height:79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" strokecolor="black [3200]" strokeweight=".5pt">
                  <v:stroke endarrow="block" joinstyle="miter"/>
                </v:shape>
                <v:shape id="Straight Arrow Connector 10" o:spid="_x0000_s1030" type="#_x0000_t32" style="position:absolute;left:22540;top:6520;width:0;height:170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" strokecolor="black [3200]" strokeweight=".5pt">
                  <v:stroke endarrow="block" joinstyle="miter"/>
                </v:shape>
                <v:shape id="Straight Arrow Connector 11" o:spid="_x0000_s1031" type="#_x0000_t32" style="position:absolute;left:26630;top:13257;width:18;height:1075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" strokecolor="black [3200]" strokeweight=".5pt">
                  <v:stroke endarrow="block" joinstyle="miter"/>
                </v:shape>
                <v:shape id="Straight Arrow Connector 12" o:spid="_x0000_s1032" type="#_x0000_t32" style="position:absolute;left:42368;top:14550;width:0;height:60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" strokecolor="black [3200]">
                  <v:stroke dashstyle="dash"/>
                </v:shape>
                <v:shapetype id="_x0000_t202" coordsize="21600,21600" o:spt="202" path="m,l,21600r21600,l21600,xe">
                  <v:stroke joinstyle="miter"/>
                  <v:path gradientshapeok="t" o:connecttype="rect"/>
                </v:shapetype>
                <v:shape id="Text Box 19" o:spid="_x0000_s1033" type="#_x0000_t202" style="position:absolute;left:359;top:360;width:13311;height:7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43918194" w14:textId="77777777" w:rsidR="00383280" w:rsidRPr="0064142F" w:rsidRDefault="00383280" w:rsidP="0064142F">
                        <w:pPr>
                          <w:spacing w:line="240" w:lineRule="auto"/>
                          <w:jc w:val="center"/>
                          <w:rPr>
                            <w:rFonts w:eastAsia="Calibri" w:cs="Times New Roman"/>
                          </w:rPr>
                        </w:pPr>
                        <w:r w:rsidRPr="0064142F">
                          <w:rPr>
                            <w:rFonts w:eastAsia="Calibri" w:cs="Times New Roman"/>
                          </w:rPr>
                          <w:t>KEPEMILIKAN</w:t>
                        </w:r>
                      </w:p>
                      <w:p w14:paraId="4024D458" w14:textId="77777777" w:rsidR="00383280" w:rsidRPr="0064142F" w:rsidRDefault="00383280" w:rsidP="0064142F">
                        <w:pPr>
                          <w:spacing w:line="240" w:lineRule="auto"/>
                          <w:jc w:val="center"/>
                          <w:rPr>
                            <w:rFonts w:eastAsia="Calibri" w:cs="Times New Roman"/>
                          </w:rPr>
                        </w:pPr>
                        <w:r w:rsidRPr="0064142F">
                          <w:rPr>
                            <w:rFonts w:eastAsia="Calibri" w:cs="Times New Roman"/>
                          </w:rPr>
                          <w:t>MANAJERIAL      (X1)</w:t>
                        </w:r>
                      </w:p>
                    </w:txbxContent>
                  </v:textbox>
                </v:shape>
                <v:shape id="Text Box 19" o:spid="_x0000_s1034" type="#_x0000_t202" style="position:absolute;left:63;top:14276;width:13606;height:7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0C87B74D" w14:textId="77777777" w:rsidR="00383280" w:rsidRPr="0064142F" w:rsidRDefault="00383280" w:rsidP="0064142F">
                        <w:pPr>
                          <w:spacing w:line="240" w:lineRule="auto"/>
                          <w:jc w:val="center"/>
                          <w:rPr>
                            <w:rFonts w:eastAsia="Calibri" w:cs="Times New Roman"/>
                          </w:rPr>
                        </w:pPr>
                        <w:r w:rsidRPr="0064142F">
                          <w:rPr>
                            <w:rFonts w:eastAsia="Calibri" w:cs="Times New Roman"/>
                          </w:rPr>
                          <w:t>KEPEMILIKAN</w:t>
                        </w:r>
                      </w:p>
                      <w:p w14:paraId="4D8FCEA0" w14:textId="77777777" w:rsidR="00383280" w:rsidRPr="0064142F" w:rsidRDefault="00383280" w:rsidP="0064142F">
                        <w:pPr>
                          <w:spacing w:line="240" w:lineRule="auto"/>
                          <w:jc w:val="center"/>
                          <w:rPr>
                            <w:rFonts w:eastAsia="Calibri" w:cs="Times New Roman"/>
                          </w:rPr>
                        </w:pPr>
                        <w:r w:rsidRPr="0064142F">
                          <w:rPr>
                            <w:rFonts w:eastAsia="Calibri" w:cs="Times New Roman"/>
                          </w:rPr>
                          <w:t>INSTITUSIONAL    (X2)</w:t>
                        </w:r>
                      </w:p>
                    </w:txbxContent>
                  </v:textbox>
                </v:shape>
                <v:shape id="Text Box 19" o:spid="_x0000_s1035" type="#_x0000_t202" style="position:absolute;left:34861;top:5498;width:14973;height:8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3510B5CE" w14:textId="77777777" w:rsidR="00383280" w:rsidRPr="0064142F" w:rsidRDefault="00383280" w:rsidP="0064142F">
                        <w:pPr>
                          <w:spacing w:line="240" w:lineRule="auto"/>
                          <w:jc w:val="center"/>
                          <w:rPr>
                            <w:rFonts w:eastAsia="Calibri" w:cs="Times New Roman"/>
                          </w:rPr>
                        </w:pPr>
                        <w:r w:rsidRPr="0064142F">
                          <w:rPr>
                            <w:rFonts w:eastAsia="Calibri" w:cs="Times New Roman"/>
                            <w:i/>
                            <w:iCs/>
                          </w:rPr>
                          <w:t>CORPORATE SOCIAL RESPONSIBILITY</w:t>
                        </w:r>
                        <w:r w:rsidRPr="0064142F">
                          <w:rPr>
                            <w:rFonts w:eastAsia="Calibri" w:cs="Times New Roman"/>
                          </w:rPr>
                          <w:t xml:space="preserve">     (Y)</w:t>
                        </w:r>
                      </w:p>
                    </w:txbxContent>
                  </v:textbox>
                </v:shape>
                <v:shape id="Text Box 19" o:spid="_x0000_s1036" type="#_x0000_t202" style="position:absolute;left:17960;top:23626;width:12964;height:6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7FB92ECE" w14:textId="2FFF17F3" w:rsidR="00383280" w:rsidRPr="0064142F" w:rsidRDefault="00383280" w:rsidP="0064142F">
                        <w:pPr>
                          <w:spacing w:line="240" w:lineRule="auto"/>
                          <w:jc w:val="center"/>
                          <w:rPr>
                            <w:rFonts w:eastAsia="Calibri" w:cs="Times New Roman"/>
                          </w:rPr>
                        </w:pPr>
                        <w:r w:rsidRPr="0064142F">
                          <w:rPr>
                            <w:rFonts w:eastAsia="Calibri" w:cs="Times New Roman"/>
                          </w:rPr>
                          <w:t>KINERJA PERUSAHAAN            (</w:t>
                        </w:r>
                        <w:r w:rsidRPr="0064142F">
                          <w:rPr>
                            <w:rFonts w:eastAsia="Calibri" w:cs="Times New Roman"/>
                            <w:lang w:val="en-US"/>
                          </w:rPr>
                          <w:t>Z</w:t>
                        </w:r>
                        <w:r w:rsidRPr="0064142F">
                          <w:rPr>
                            <w:rFonts w:eastAsia="Calibri" w:cs="Times New Roman"/>
                          </w:rPr>
                          <w:t>)</w:t>
                        </w:r>
                      </w:p>
                    </w:txbxContent>
                  </v:textbox>
                </v:shape>
                <v:shape id="Text Box 19" o:spid="_x0000_s1037" type="#_x0000_t202" style="position:absolute;left:36195;top:19172;width:12763;height:10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14:paraId="4C76A958" w14:textId="77777777" w:rsidR="00383280" w:rsidRPr="0064142F" w:rsidRDefault="00383280" w:rsidP="0064142F">
                        <w:pPr>
                          <w:spacing w:line="240" w:lineRule="auto"/>
                          <w:jc w:val="center"/>
                          <w:rPr>
                            <w:rFonts w:eastAsia="Calibri" w:cs="Times New Roman"/>
                          </w:rPr>
                        </w:pPr>
                        <w:r w:rsidRPr="0064142F">
                          <w:rPr>
                            <w:rFonts w:eastAsia="Calibri" w:cs="Times New Roman"/>
                          </w:rPr>
                          <w:t>LEVERAGE PERUSAHAAN &amp; UKURAN PERUSAHAAN  (K)</w:t>
                        </w:r>
                      </w:p>
                    </w:txbxContent>
                  </v:textbox>
                </v:shape>
                <v:shape id="Text Box 20" o:spid="_x0000_s1038" type="#_x0000_t202" style="position:absolute;left:22893;top:3859;width:764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E033490" w14:textId="79A74CD5" w:rsidR="00383280" w:rsidRDefault="00383280" w:rsidP="0064142F">
                        <w:pPr>
                          <w:spacing w:line="240" w:lineRule="auto"/>
                          <w:rPr>
                            <w:lang w:val="en-US"/>
                          </w:rPr>
                        </w:pPr>
                        <w:r>
                          <w:t>H</w:t>
                        </w:r>
                        <w:r>
                          <w:rPr>
                            <w:lang w:val="en-US"/>
                          </w:rPr>
                          <w:t>1(+)</w:t>
                        </w:r>
                      </w:p>
                      <w:p w14:paraId="223B7680" w14:textId="77777777" w:rsidR="00383280" w:rsidRPr="00163A09" w:rsidRDefault="00383280" w:rsidP="006B0292">
                        <w:pPr>
                          <w:rPr>
                            <w:lang w:val="en-US"/>
                          </w:rPr>
                        </w:pPr>
                      </w:p>
                      <w:p w14:paraId="2C0423FF" w14:textId="77777777" w:rsidR="00383280" w:rsidRDefault="00383280" w:rsidP="006B0292"/>
                    </w:txbxContent>
                  </v:textbox>
                </v:shape>
                <v:shape id="Text Box 20" o:spid="_x0000_s1039" type="#_x0000_t202" style="position:absolute;left:28236;top:12012;width:7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4A8A0BD9" w14:textId="4801DB89" w:rsidR="00383280" w:rsidRDefault="00383280" w:rsidP="006B0292">
                        <w:pPr>
                          <w:spacing w:line="254" w:lineRule="auto"/>
                          <w:rPr>
                            <w:rFonts w:eastAsia="Calibri"/>
                            <w:lang w:val="en-US"/>
                          </w:rPr>
                        </w:pPr>
                        <w:r>
                          <w:rPr>
                            <w:rFonts w:eastAsia="Calibri"/>
                          </w:rPr>
                          <w:t>H2</w:t>
                        </w:r>
                        <w:r>
                          <w:rPr>
                            <w:rFonts w:eastAsia="Calibri"/>
                            <w:lang w:val="en-US"/>
                          </w:rPr>
                          <w:t>(+)</w:t>
                        </w:r>
                      </w:p>
                      <w:p w14:paraId="0A50048B" w14:textId="77777777" w:rsidR="00383280" w:rsidRPr="00163A09" w:rsidRDefault="00383280" w:rsidP="006B0292">
                        <w:pPr>
                          <w:spacing w:line="254" w:lineRule="auto"/>
                          <w:rPr>
                            <w:rFonts w:eastAsia="Calibri"/>
                            <w:lang w:val="en-US"/>
                          </w:rPr>
                        </w:pPr>
                      </w:p>
                      <w:p w14:paraId="2CF55176" w14:textId="77777777" w:rsidR="00383280" w:rsidRDefault="00383280" w:rsidP="006B0292">
                        <w:pPr>
                          <w:spacing w:line="254" w:lineRule="auto"/>
                          <w:rPr>
                            <w:rFonts w:eastAsia="Calibri"/>
                          </w:rPr>
                        </w:pPr>
                        <w:r>
                          <w:rPr>
                            <w:rFonts w:eastAsia="Calibri"/>
                          </w:rPr>
                          <w:t> </w:t>
                        </w:r>
                      </w:p>
                    </w:txbxContent>
                  </v:textbox>
                </v:shape>
                <v:shape id="Text Box 20" o:spid="_x0000_s1040" type="#_x0000_t202" style="position:absolute;left:19444;top:8882;width:448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5121A8BE" w14:textId="77777777" w:rsidR="00383280" w:rsidRDefault="00383280" w:rsidP="006B0292">
                        <w:pPr>
                          <w:spacing w:line="254" w:lineRule="auto"/>
                          <w:rPr>
                            <w:rFonts w:eastAsia="Calibri"/>
                          </w:rPr>
                        </w:pPr>
                        <w:r>
                          <w:rPr>
                            <w:rFonts w:eastAsia="Calibri"/>
                          </w:rPr>
                          <w:t>H3</w:t>
                        </w:r>
                      </w:p>
                      <w:p w14:paraId="13535EE9" w14:textId="77777777" w:rsidR="00383280" w:rsidRDefault="00383280" w:rsidP="006B0292">
                        <w:pPr>
                          <w:spacing w:line="254" w:lineRule="auto"/>
                          <w:rPr>
                            <w:rFonts w:eastAsia="Calibri"/>
                          </w:rPr>
                        </w:pPr>
                        <w:r>
                          <w:rPr>
                            <w:rFonts w:eastAsia="Calibri"/>
                          </w:rPr>
                          <w:t> </w:t>
                        </w:r>
                      </w:p>
                    </w:txbxContent>
                  </v:textbox>
                </v:shape>
                <v:shape id="Text Box 20" o:spid="_x0000_s1041" type="#_x0000_t202" style="position:absolute;left:26330;top:18344;width:448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6B19637D" w14:textId="77777777" w:rsidR="00383280" w:rsidRDefault="00383280" w:rsidP="006B0292">
                        <w:pPr>
                          <w:spacing w:line="254" w:lineRule="auto"/>
                          <w:rPr>
                            <w:rFonts w:eastAsia="Calibri"/>
                          </w:rPr>
                        </w:pPr>
                        <w:r>
                          <w:rPr>
                            <w:rFonts w:eastAsia="Calibri"/>
                          </w:rPr>
                          <w:t>H4</w:t>
                        </w:r>
                      </w:p>
                      <w:p w14:paraId="480A94DE" w14:textId="77777777" w:rsidR="00383280" w:rsidRDefault="00383280" w:rsidP="006B0292">
                        <w:pPr>
                          <w:spacing w:line="254" w:lineRule="auto"/>
                          <w:rPr>
                            <w:rFonts w:eastAsia="Calibri"/>
                          </w:rPr>
                        </w:pPr>
                        <w:r>
                          <w:rPr>
                            <w:rFonts w:eastAsia="Calibri"/>
                          </w:rPr>
                          <w:t> </w:t>
                        </w:r>
                      </w:p>
                    </w:txbxContent>
                  </v:textbox>
                </v:shape>
                <w10:anchorlock/>
              </v:group>
            </w:pict>
          </mc:Fallback>
        </mc:AlternateContent>
      </w:r>
    </w:p>
    <w:p w14:paraId="2D87C486" w14:textId="53C58BFA" w:rsidR="006B0292" w:rsidRPr="006B0292" w:rsidRDefault="00E56B75" w:rsidP="00E56B75">
      <w:pPr>
        <w:pStyle w:val="Heading2"/>
        <w:rPr>
          <w:lang w:val="id-ID"/>
        </w:rPr>
      </w:pPr>
      <w:bookmarkStart w:id="24" w:name="_Toc235560218"/>
      <w:r>
        <w:rPr>
          <w:lang w:val="en-US"/>
        </w:rPr>
        <w:t>2.4</w:t>
      </w:r>
      <w:r>
        <w:rPr>
          <w:lang w:val="en-US"/>
        </w:rPr>
        <w:tab/>
      </w:r>
      <w:r>
        <w:rPr>
          <w:lang w:val="en-US"/>
        </w:rPr>
        <w:tab/>
      </w:r>
      <w:r w:rsidR="006B0292" w:rsidRPr="006B0292">
        <w:rPr>
          <w:lang w:val="id-ID"/>
        </w:rPr>
        <w:t>Hipotesis</w:t>
      </w:r>
      <w:bookmarkEnd w:id="24"/>
    </w:p>
    <w:p w14:paraId="4C8B1DDF" w14:textId="666A81A9" w:rsidR="006B0292" w:rsidRPr="00E56B75" w:rsidRDefault="00E56B75" w:rsidP="00E56B75">
      <w:pPr>
        <w:pStyle w:val="Heading3"/>
        <w:rPr>
          <w:b w:val="0"/>
          <w:bCs/>
          <w:color w:val="auto"/>
          <w:lang w:val="id-ID"/>
        </w:rPr>
      </w:pPr>
      <w:bookmarkStart w:id="25" w:name="_Toc235560219"/>
      <w:r w:rsidRPr="00E56B75">
        <w:rPr>
          <w:bCs/>
          <w:color w:val="auto"/>
          <w:lang w:val="en-US"/>
        </w:rPr>
        <w:t>2.4.1</w:t>
      </w:r>
      <w:r w:rsidRPr="00E56B75">
        <w:rPr>
          <w:bCs/>
          <w:color w:val="auto"/>
          <w:lang w:val="en-US"/>
        </w:rPr>
        <w:tab/>
      </w:r>
      <w:r w:rsidR="006B0292" w:rsidRPr="00E56B75">
        <w:rPr>
          <w:bCs/>
          <w:color w:val="auto"/>
          <w:lang w:val="en-US"/>
        </w:rPr>
        <w:t xml:space="preserve">Kepemilikan Manajerial dan </w:t>
      </w:r>
      <w:r w:rsidR="006B0292" w:rsidRPr="0064142F">
        <w:rPr>
          <w:bCs/>
          <w:i/>
          <w:iCs/>
          <w:color w:val="auto"/>
          <w:lang w:val="en-US"/>
        </w:rPr>
        <w:t>Corporate Social Responsibility</w:t>
      </w:r>
      <w:bookmarkEnd w:id="25"/>
    </w:p>
    <w:p w14:paraId="4CBC3314" w14:textId="7ACF101C" w:rsidR="006B0292" w:rsidRPr="0064142F" w:rsidRDefault="00E56B75" w:rsidP="0064142F">
      <w:pPr>
        <w:pStyle w:val="BodyText"/>
        <w:rPr>
          <w:rFonts w:cs="Times New Roman"/>
          <w:bCs/>
          <w:lang w:val="en-ID"/>
        </w:rPr>
      </w:pPr>
      <w:r>
        <w:rPr>
          <w:rFonts w:cs="Times New Roman"/>
          <w:bCs/>
          <w:lang w:val="en-ID"/>
        </w:rPr>
        <w:tab/>
      </w:r>
      <w:r w:rsidR="006B0292" w:rsidRPr="006B0292">
        <w:rPr>
          <w:rFonts w:cs="Times New Roman"/>
          <w:bCs/>
          <w:lang w:val="en-ID"/>
        </w:rPr>
        <w:t>Kepemilikan manajerial merupakan kondisi di mana pihak manajemen perusahaan turut memiliki saham dalam perusahaan yang mereka kelola, sehingga manajer tidak hanya berperan sebagai pengelola tetapi juga sebagai pemilik yang secara langsung menanggung konsekuensi atas setiap keputusan yang diambil, termasuk keputusan terkait pelaksanaan CSR</w:t>
      </w:r>
      <w:r w:rsidR="00163A09">
        <w:rPr>
          <w:rFonts w:cs="Times New Roman"/>
          <w:bCs/>
          <w:lang w:val="en-ID"/>
        </w:rPr>
        <w:t xml:space="preserve"> </w:t>
      </w:r>
      <w:r w:rsidR="00163A09">
        <w:rPr>
          <w:rFonts w:cs="Times New Roman"/>
          <w:bCs/>
          <w:lang w:val="en-ID"/>
        </w:rPr>
        <w:fldChar w:fldCharType="begin" w:fldLock="1"/>
      </w:r>
      <w:r w:rsidR="00163A09">
        <w:rPr>
          <w:rFonts w:cs="Times New Roman"/>
          <w:bCs/>
          <w:lang w:val="en-ID"/>
        </w:rP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e","type":"article-journal","volume":"3"},"uris":["http://www.mendeley.com/documents/?uuid=433bbc02-dfe4-402b-bf61-e5717d6900a1"]}],"mendeley":{"formattedCitation":"(Jensen &amp; Meckling, 1976)","plainTextFormattedCitation":"(Jensen &amp; Meckling, 1976)","previouslyFormattedCitation":"(Jensen &amp; Meckling, 1976)"},"properties":{"noteIndex":0},"schema":"https://github.com/citation-style-language/schema/raw/master/csl-citation.json"}</w:instrText>
      </w:r>
      <w:r w:rsidR="00163A09">
        <w:rPr>
          <w:rFonts w:cs="Times New Roman"/>
          <w:bCs/>
          <w:lang w:val="en-ID"/>
        </w:rPr>
        <w:fldChar w:fldCharType="separate"/>
      </w:r>
      <w:r w:rsidR="00163A09" w:rsidRPr="00163A09">
        <w:rPr>
          <w:rFonts w:cs="Times New Roman"/>
          <w:bCs/>
          <w:noProof/>
          <w:lang w:val="en-ID"/>
        </w:rPr>
        <w:t>(Jensen &amp; Meckling, 1976)</w:t>
      </w:r>
      <w:r w:rsidR="00163A09">
        <w:rPr>
          <w:rFonts w:cs="Times New Roman"/>
          <w:bCs/>
          <w:lang w:val="en-ID"/>
        </w:rPr>
        <w:fldChar w:fldCharType="end"/>
      </w:r>
      <w:r w:rsidR="006B0292" w:rsidRPr="006B0292">
        <w:rPr>
          <w:rFonts w:cs="Times New Roman"/>
          <w:bCs/>
          <w:lang w:val="en-ID"/>
        </w:rPr>
        <w:t>.</w:t>
      </w:r>
      <w:r w:rsidR="0064142F">
        <w:rPr>
          <w:rFonts w:cs="Times New Roman"/>
          <w:bCs/>
          <w:lang w:val="en-ID"/>
        </w:rPr>
        <w:t xml:space="preserve"> </w:t>
      </w:r>
      <w:r w:rsidR="0064142F">
        <w:rPr>
          <w:rFonts w:cs="Times New Roman"/>
          <w:lang w:val="en-ID"/>
        </w:rPr>
        <w:t>P</w:t>
      </w:r>
      <w:r w:rsidR="006B0292" w:rsidRPr="006B0292">
        <w:rPr>
          <w:rFonts w:cs="Times New Roman"/>
          <w:lang w:val="en-ID"/>
        </w:rPr>
        <w:t xml:space="preserve">erspektif teori agensi Jensen dan Meckling </w:t>
      </w:r>
      <w:r w:rsidR="00163A09">
        <w:rPr>
          <w:rFonts w:cs="Times New Roman"/>
          <w:lang w:val="en-ID"/>
        </w:rPr>
        <w:fldChar w:fldCharType="begin" w:fldLock="1"/>
      </w:r>
      <w:r w:rsidR="00163A09">
        <w:rPr>
          <w:rFonts w:cs="Times New Roman"/>
          <w:lang w:val="en-ID"/>
        </w:rP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suppress-author":1,"uris":["http://www.mendeley.com/documents/?uuid=433bbc02-dfe4-402b-bf61-e5717d6900a1"]}],"mendeley":{"formattedCitation":"(1976)","plainTextFormattedCitation":"(1976)","previouslyFormattedCitation":"(1976)"},"properties":{"noteIndex":0},"schema":"https://github.com/citation-style-language/schema/raw/master/csl-citation.json"}</w:instrText>
      </w:r>
      <w:r w:rsidR="00163A09">
        <w:rPr>
          <w:rFonts w:cs="Times New Roman"/>
          <w:lang w:val="en-ID"/>
        </w:rPr>
        <w:fldChar w:fldCharType="separate"/>
      </w:r>
      <w:r w:rsidR="00163A09" w:rsidRPr="00163A09">
        <w:rPr>
          <w:rFonts w:cs="Times New Roman"/>
          <w:noProof/>
          <w:lang w:val="en-ID"/>
        </w:rPr>
        <w:t>(1976)</w:t>
      </w:r>
      <w:r w:rsidR="00163A09">
        <w:rPr>
          <w:rFonts w:cs="Times New Roman"/>
          <w:lang w:val="en-ID"/>
        </w:rPr>
        <w:fldChar w:fldCharType="end"/>
      </w:r>
      <w:r w:rsidR="006B0292" w:rsidRPr="006B0292">
        <w:rPr>
          <w:rFonts w:cs="Times New Roman"/>
          <w:lang w:val="en-ID"/>
        </w:rPr>
        <w:t xml:space="preserve"> menjelaskan bahwa konflik </w:t>
      </w:r>
      <w:r w:rsidR="006B0292" w:rsidRPr="006B0292">
        <w:rPr>
          <w:rFonts w:cs="Times New Roman"/>
          <w:lang w:val="en-ID"/>
        </w:rPr>
        <w:lastRenderedPageBreak/>
        <w:t xml:space="preserve">kepentingan antara manajer dan pemegang saham dapat diminimalkan ketika manajer turut memiliki saham dalam perusahaan. </w:t>
      </w:r>
      <w:r w:rsidR="0064142F" w:rsidRPr="0064142F">
        <w:rPr>
          <w:rFonts w:cs="Times New Roman"/>
        </w:rPr>
        <w:t>Kepemilikan saham oleh manajer membuat kepentingan mereka lebih selaras dengan kepentingan pemegang saham jangka panjang, sehingga mendorong pengambilan keputusan yang lebih berorientasi pada keberlanjutan perusahaan, termasuk dalam pelaksanaan program CSR</w:t>
      </w:r>
      <w:r w:rsidR="006B0292" w:rsidRPr="006B0292">
        <w:rPr>
          <w:rFonts w:cs="Times New Roman"/>
          <w:lang w:val="en-ID"/>
        </w:rPr>
        <w:t xml:space="preserve">. Hal ini sejalan dengan temuan Danendratama dan Dharma </w:t>
      </w:r>
      <w:r w:rsidR="00163A09">
        <w:rPr>
          <w:rFonts w:cs="Times New Roman"/>
          <w:lang w:val="en-ID"/>
        </w:rPr>
        <w:fldChar w:fldCharType="begin" w:fldLock="1"/>
      </w:r>
      <w:r w:rsidR="00163A09">
        <w:rPr>
          <w:rFonts w:cs="Times New Roman"/>
          <w:lang w:val="en-ID"/>
        </w:rPr>
        <w:instrText>ADDIN CSL_CITATION {"citationItems":[{"id":"ITEM-1","itemData":{"abstract":"… Kepemilikan manajerial merupakan kepemilikan saham yang dimiliki oleh … kepemilikan manajerial terhadap manajemen laba. Hasil ini membuktikan bahwa kepemilikan manajerial …","author":[{"dropping-particle":"","family":"Danendratama","given":"Daffa","non-dropping-particle":"","parse-names":false,"suffix":""},{"dropping-particle":"","family":"Dharma","given":"Amdi Very","non-dropping-particle":"","parse-names":false,"suffix":""}],"container-title":"Jurnal Akuntansi &amp; …","id":"ITEM-1","issue":"2","issued":{"date-parts":[["2026"]]},"page":"758-768","title":"Pengaruh Kepemilikan Institusional, Kepemilikan Manajerial, Jumlah Dewan Direksi, Proporsi Dewan Komisaris Independen …","type":"article-journal","volume":"6"},"suppress-author":1,"uris":["http://www.mendeley.com/documents/?uuid=f940acd7-58b2-427f-bc22-ddb655cb0d56"]}],"mendeley":{"formattedCitation":"(2026)","plainTextFormattedCitation":"(2026)","previouslyFormattedCitation":"(2026)"},"properties":{"noteIndex":0},"schema":"https://github.com/citation-style-language/schema/raw/master/csl-citation.json"}</w:instrText>
      </w:r>
      <w:r w:rsidR="00163A09">
        <w:rPr>
          <w:rFonts w:cs="Times New Roman"/>
          <w:lang w:val="en-ID"/>
        </w:rPr>
        <w:fldChar w:fldCharType="separate"/>
      </w:r>
      <w:r w:rsidR="00163A09" w:rsidRPr="00163A09">
        <w:rPr>
          <w:rFonts w:cs="Times New Roman"/>
          <w:noProof/>
          <w:lang w:val="en-ID"/>
        </w:rPr>
        <w:t>(2026)</w:t>
      </w:r>
      <w:r w:rsidR="00163A09">
        <w:rPr>
          <w:rFonts w:cs="Times New Roman"/>
          <w:lang w:val="en-ID"/>
        </w:rPr>
        <w:fldChar w:fldCharType="end"/>
      </w:r>
      <w:r w:rsidR="006B0292" w:rsidRPr="006B0292">
        <w:rPr>
          <w:rFonts w:cs="Times New Roman"/>
          <w:lang w:val="en-ID"/>
        </w:rPr>
        <w:t xml:space="preserve"> yang menemukan bahwa kepemilikan manajerial berpengaruh positif terhadap pengambilan keputusan yang berorientasi pada keberlanjutan, di mana manajer yang memiliki saham cenderung lebih berkomitmen dalam menjalankan program-program yang memberikan manfaat jangka panjang bagi perusahaan dan pemangku kepentingan, salah satunya melalui pelaksanaan CSR.</w:t>
      </w:r>
    </w:p>
    <w:p w14:paraId="6B0063A0" w14:textId="15387E1D" w:rsidR="006B0292" w:rsidRPr="006B0292" w:rsidRDefault="00ED3408" w:rsidP="00E56B75">
      <w:pPr>
        <w:pStyle w:val="BodyText"/>
        <w:spacing w:before="179"/>
        <w:rPr>
          <w:rFonts w:cs="Times New Roman"/>
          <w:lang w:val="en-ID"/>
        </w:rPr>
      </w:pPr>
      <w:r>
        <w:rPr>
          <w:rFonts w:cs="Times New Roman"/>
          <w:lang w:val="en-ID"/>
        </w:rPr>
        <w:tab/>
      </w:r>
      <w:r w:rsidR="006B0292" w:rsidRPr="006B0292">
        <w:rPr>
          <w:rFonts w:cs="Times New Roman"/>
          <w:lang w:val="en-ID"/>
        </w:rPr>
        <w:t>Kondisi ini relevan dengan karakteristik perusahaan manufaktur di Indonesia, yang merupakan kelompok emiten terbesar di BEI dan memiliki struktur kepemilikan yang cenderung terkonsentrasi</w:t>
      </w:r>
      <w:r w:rsidR="00163A09">
        <w:rPr>
          <w:rFonts w:cs="Times New Roman"/>
          <w:lang w:val="en-ID"/>
        </w:rPr>
        <w:t xml:space="preserve"> </w:t>
      </w:r>
      <w:r w:rsidR="00163A09">
        <w:rPr>
          <w:rFonts w:cs="Times New Roman"/>
          <w:lang w:val="en-ID"/>
        </w:rPr>
        <w:fldChar w:fldCharType="begin" w:fldLock="1"/>
      </w:r>
      <w:r w:rsidR="00163A09">
        <w:rPr>
          <w:rFonts w:cs="Times New Roman"/>
          <w:lang w:val="en-ID"/>
        </w:rPr>
        <w:instrText>ADDIN CSL_CITATION {"citationItems":[{"id":"ITEM-1","itemData":{"DOI":"10.24036/jkmw02100370","abstract":"The purpose of this study is to examine the effect of ownership structure on the firm performance of manufacturing companies listed on the Indonesia Stock Exchange (IDX).  This research is a causative study. The population in this study are all manufacturing companies listed on the Indonesia Stock Exchange for the period 2013-2018. This study uses secondary data published in the Indonesian Stock Exchange (IDX). Based on data collection, a sample of 75 companies from 144 listed manufacturing companies was obtained. The analytical method used is Multiple Regression using SPSS 24 data processing applications. The results of this study conclude (1) Family Ownership does not have a significant positive effect on firm performance (2) Managerial Ownership has a significant negative effect on firm performance (3) Institutional Ownership has a significant positive effect on firm performance (4) Foreign ownership does not have a significant positive effect on firm performance.  Keywords: Ownership structure, firm performance, Indonesia Stock Exchange.","author":[{"dropping-particle":"","family":"Wahida","given":"Neneng","non-dropping-particle":"","parse-names":false,"suffix":""},{"dropping-particle":"","family":"Rahmiati","given":"Rahmiati","non-dropping-particle":"","parse-names":false,"suffix":""},{"dropping-particle":"","family":"Zulvia","given":"Yolandafitri","non-dropping-particle":"","parse-names":false,"suffix":""}],"container-title":"Jurnal Kajian Manajemen dan Wirausaha","id":"ITEM-1","issue":"4","issued":{"date-parts":[["2020"]]},"page":"186","title":"Pengaruh struktur kepemilikan terhadap kinerja perusahaan manufaktur yang terdaftar di bursa efek Indonesia","type":"article-journal","volume":"2"},"uris":["http://www.mendeley.com/documents/?uuid=eedd1e0a-7de9-46bf-9fda-825fc4e48d9c"]}],"mendeley":{"formattedCitation":"(Wahida et al., 2020)","plainTextFormattedCitation":"(Wahida et al., 2020)","previouslyFormattedCitation":"(Wahida et al., 2020)"},"properties":{"noteIndex":0},"schema":"https://github.com/citation-style-language/schema/raw/master/csl-citation.json"}</w:instrText>
      </w:r>
      <w:r w:rsidR="00163A09">
        <w:rPr>
          <w:rFonts w:cs="Times New Roman"/>
          <w:lang w:val="en-ID"/>
        </w:rPr>
        <w:fldChar w:fldCharType="separate"/>
      </w:r>
      <w:r w:rsidR="00163A09" w:rsidRPr="00163A09">
        <w:rPr>
          <w:rFonts w:cs="Times New Roman"/>
          <w:noProof/>
          <w:lang w:val="en-ID"/>
        </w:rPr>
        <w:t>(Wahida et al., 2020)</w:t>
      </w:r>
      <w:r w:rsidR="00163A09">
        <w:rPr>
          <w:rFonts w:cs="Times New Roman"/>
          <w:lang w:val="en-ID"/>
        </w:rPr>
        <w:fldChar w:fldCharType="end"/>
      </w:r>
      <w:r w:rsidR="006B0292" w:rsidRPr="006B0292">
        <w:rPr>
          <w:rFonts w:cs="Times New Roman"/>
          <w:lang w:val="en-ID"/>
        </w:rPr>
        <w:t xml:space="preserve">. </w:t>
      </w:r>
      <w:r w:rsidR="00C2157E">
        <w:rPr>
          <w:rFonts w:cs="Times New Roman"/>
          <w:lang w:val="en-ID"/>
        </w:rPr>
        <w:t>M</w:t>
      </w:r>
      <w:r w:rsidR="006B0292" w:rsidRPr="006B0292">
        <w:rPr>
          <w:rFonts w:cs="Times New Roman"/>
          <w:lang w:val="en-ID"/>
        </w:rPr>
        <w:t xml:space="preserve">anajer yang turut memiliki saham akan memiliki dorongan yang lebih kuat untuk menjaga reputasi dan keberlanjutan perusahaan melalui pelaksanaan CSR, karena dampak dari keputusan tersebut juga akan dirasakan langsung oleh mereka sebagai pemegang saham. </w:t>
      </w:r>
      <w:r w:rsidR="00C2157E">
        <w:rPr>
          <w:rFonts w:cs="Times New Roman"/>
          <w:lang w:val="en-ID"/>
        </w:rPr>
        <w:t>P</w:t>
      </w:r>
      <w:r w:rsidR="006B0292" w:rsidRPr="006B0292">
        <w:rPr>
          <w:rFonts w:cs="Times New Roman"/>
          <w:lang w:val="en-ID"/>
        </w:rPr>
        <w:t xml:space="preserve">enelitian Dakhli </w:t>
      </w:r>
      <w:r w:rsidR="00163A09">
        <w:rPr>
          <w:rFonts w:cs="Times New Roman"/>
          <w:lang w:val="en-ID"/>
        </w:rPr>
        <w:fldChar w:fldCharType="begin" w:fldLock="1"/>
      </w:r>
      <w:r w:rsidR="00163A09">
        <w:rPr>
          <w:rFonts w:cs="Times New Roman"/>
          <w:lang w:val="en-ID"/>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rsidR="00163A09">
        <w:rPr>
          <w:rFonts w:cs="Times New Roman"/>
          <w:lang w:val="en-ID"/>
        </w:rPr>
        <w:fldChar w:fldCharType="separate"/>
      </w:r>
      <w:r w:rsidR="00163A09" w:rsidRPr="00163A09">
        <w:rPr>
          <w:rFonts w:cs="Times New Roman"/>
          <w:noProof/>
          <w:lang w:val="en-ID"/>
        </w:rPr>
        <w:t>(2021)</w:t>
      </w:r>
      <w:r w:rsidR="00163A09">
        <w:rPr>
          <w:rFonts w:cs="Times New Roman"/>
          <w:lang w:val="en-ID"/>
        </w:rPr>
        <w:fldChar w:fldCharType="end"/>
      </w:r>
      <w:r w:rsidR="006B0292" w:rsidRPr="006B0292">
        <w:rPr>
          <w:rFonts w:cs="Times New Roman"/>
          <w:lang w:val="en-ID"/>
        </w:rPr>
        <w:t xml:space="preserve"> </w:t>
      </w:r>
      <w:r w:rsidR="00D037F8">
        <w:rPr>
          <w:rFonts w:cs="Times New Roman"/>
          <w:lang w:val="en-ID"/>
        </w:rPr>
        <w:t>menunjukkan</w:t>
      </w:r>
      <w:r w:rsidR="006B0292" w:rsidRPr="006B0292">
        <w:rPr>
          <w:rFonts w:cs="Times New Roman"/>
          <w:lang w:val="en-ID"/>
        </w:rPr>
        <w:t xml:space="preserve"> </w:t>
      </w:r>
      <w:r w:rsidR="00D037F8">
        <w:rPr>
          <w:rFonts w:cs="Times New Roman"/>
          <w:lang w:val="en-ID"/>
        </w:rPr>
        <w:t xml:space="preserve">temuan </w:t>
      </w:r>
      <w:r w:rsidR="006B0292" w:rsidRPr="006B0292">
        <w:rPr>
          <w:rFonts w:cs="Times New Roman"/>
          <w:lang w:val="en-ID"/>
        </w:rPr>
        <w:t xml:space="preserve">yang </w:t>
      </w:r>
      <w:r w:rsidR="00D037F8">
        <w:rPr>
          <w:rFonts w:cs="Times New Roman"/>
          <w:lang w:val="en-ID"/>
        </w:rPr>
        <w:t>bertolak belakang</w:t>
      </w:r>
      <w:r w:rsidR="006B0292" w:rsidRPr="006B0292">
        <w:rPr>
          <w:rFonts w:cs="Times New Roman"/>
          <w:lang w:val="en-ID"/>
        </w:rPr>
        <w:t xml:space="preserve">, di mana kepemilikan manajerial justru berpengaruh negatif terhadap CSR. </w:t>
      </w:r>
      <w:r w:rsidR="00C2157E">
        <w:rPr>
          <w:rFonts w:cs="Times New Roman"/>
          <w:lang w:val="en-ID"/>
        </w:rPr>
        <w:t>P</w:t>
      </w:r>
      <w:r w:rsidR="006B0292" w:rsidRPr="006B0292">
        <w:rPr>
          <w:rFonts w:cs="Times New Roman"/>
          <w:lang w:val="en-ID"/>
        </w:rPr>
        <w:t>erbedaan hasil penelitian ini menunjukkan bahwa hubungan antara kepemilikan manajerial dan CSR masih perlu dikaji lebih lanjut, khususnya dalam konteks perusahaan manufaktur di Indonesia. Berdasarkan uraian tersebut, maka hipotesis yang diajukan adalah:</w:t>
      </w:r>
    </w:p>
    <w:p w14:paraId="2556F3BA" w14:textId="77777777" w:rsidR="00E56B75" w:rsidRDefault="006B0292" w:rsidP="00E56B75">
      <w:pPr>
        <w:pStyle w:val="BodyText"/>
        <w:spacing w:before="179"/>
        <w:rPr>
          <w:rFonts w:cs="Times New Roman"/>
          <w:b/>
          <w:bCs/>
          <w:lang w:val="id-ID"/>
        </w:rPr>
      </w:pPr>
      <w:r w:rsidRPr="006B0292">
        <w:rPr>
          <w:rFonts w:cs="Times New Roman"/>
          <w:b/>
          <w:bCs/>
          <w:lang w:val="id-ID"/>
        </w:rPr>
        <w:lastRenderedPageBreak/>
        <w:t xml:space="preserve">H1: </w:t>
      </w:r>
      <w:r w:rsidRPr="006B0292">
        <w:rPr>
          <w:rFonts w:cs="Times New Roman"/>
          <w:b/>
          <w:bCs/>
          <w:lang w:val="en-US"/>
        </w:rPr>
        <w:t>Kepemilikian Manajerial</w:t>
      </w:r>
      <w:r w:rsidRPr="006B0292">
        <w:rPr>
          <w:rFonts w:cs="Times New Roman"/>
          <w:b/>
          <w:bCs/>
          <w:lang w:val="id-ID"/>
        </w:rPr>
        <w:t xml:space="preserve"> berpengaruh </w:t>
      </w:r>
      <w:r w:rsidRPr="006B0292">
        <w:rPr>
          <w:rFonts w:cs="Times New Roman"/>
          <w:b/>
          <w:bCs/>
          <w:lang w:val="en-US"/>
        </w:rPr>
        <w:t>postitif</w:t>
      </w:r>
      <w:r w:rsidRPr="006B0292">
        <w:rPr>
          <w:rFonts w:cs="Times New Roman"/>
          <w:b/>
          <w:bCs/>
          <w:lang w:val="id-ID"/>
        </w:rPr>
        <w:t xml:space="preserve"> terhadap </w:t>
      </w:r>
      <w:r w:rsidRPr="00D037F8">
        <w:rPr>
          <w:rFonts w:cs="Times New Roman"/>
          <w:b/>
          <w:bCs/>
          <w:i/>
          <w:iCs/>
          <w:lang w:val="id-ID"/>
        </w:rPr>
        <w:t>Corporate Social Responsibility</w:t>
      </w:r>
      <w:r w:rsidRPr="006B0292">
        <w:rPr>
          <w:rFonts w:cs="Times New Roman"/>
          <w:b/>
          <w:bCs/>
          <w:lang w:val="en-US"/>
        </w:rPr>
        <w:t xml:space="preserve"> (CSR)</w:t>
      </w:r>
      <w:r w:rsidRPr="006B0292">
        <w:rPr>
          <w:rFonts w:cs="Times New Roman"/>
          <w:b/>
          <w:bCs/>
          <w:lang w:val="id-ID"/>
        </w:rPr>
        <w:t>.</w:t>
      </w:r>
    </w:p>
    <w:p w14:paraId="634D6A34" w14:textId="77777777" w:rsidR="00E56B75" w:rsidRDefault="00E56B75" w:rsidP="00E56B75">
      <w:pPr>
        <w:pStyle w:val="Heading3"/>
        <w:rPr>
          <w:b w:val="0"/>
          <w:bCs/>
          <w:color w:val="auto"/>
          <w:lang w:val="en-US"/>
        </w:rPr>
      </w:pPr>
      <w:bookmarkStart w:id="26" w:name="_Toc235560220"/>
      <w:r w:rsidRPr="00E56B75">
        <w:rPr>
          <w:bCs/>
          <w:color w:val="auto"/>
          <w:lang w:val="en-US"/>
        </w:rPr>
        <w:t>2.4.2</w:t>
      </w:r>
      <w:r w:rsidRPr="00E56B75">
        <w:rPr>
          <w:bCs/>
          <w:color w:val="auto"/>
          <w:lang w:val="en-US"/>
        </w:rPr>
        <w:tab/>
      </w:r>
      <w:r w:rsidR="006B0292" w:rsidRPr="00E56B75">
        <w:rPr>
          <w:bCs/>
          <w:color w:val="auto"/>
          <w:lang w:val="en-US"/>
        </w:rPr>
        <w:t xml:space="preserve">Kepemilikan Institusional dan </w:t>
      </w:r>
      <w:r w:rsidR="006B0292" w:rsidRPr="00D037F8">
        <w:rPr>
          <w:bCs/>
          <w:i/>
          <w:iCs/>
          <w:color w:val="auto"/>
          <w:lang w:val="en-US"/>
        </w:rPr>
        <w:t>Corporate Social Responsibility</w:t>
      </w:r>
      <w:bookmarkEnd w:id="26"/>
    </w:p>
    <w:p w14:paraId="183CE49C" w14:textId="2A33C8A7" w:rsidR="00E56B75" w:rsidRDefault="00E56B75" w:rsidP="00E56B75">
      <w:pPr>
        <w:rPr>
          <w:lang w:val="en-ID"/>
        </w:rPr>
      </w:pPr>
      <w:r>
        <w:rPr>
          <w:lang w:val="en-ID"/>
        </w:rPr>
        <w:tab/>
      </w:r>
      <w:r w:rsidR="006B0292" w:rsidRPr="006B0292">
        <w:rPr>
          <w:lang w:val="en-ID"/>
        </w:rPr>
        <w:t>Kepemilikan institusional merupakan proporsi saham perusahaan yang dimiliki oleh institusi atau lembaga, seperti perusahaan asuransi, dana pensiun, reksa dana, dan lembaga keuangan lainnya</w:t>
      </w:r>
      <w:r w:rsidR="00163A09">
        <w:rPr>
          <w:lang w:val="en-ID"/>
        </w:rPr>
        <w:t xml:space="preserve"> </w:t>
      </w:r>
      <w:r w:rsidR="00163A09">
        <w:rPr>
          <w:lang w:val="en-ID"/>
        </w:rPr>
        <w:fldChar w:fldCharType="begin" w:fldLock="1"/>
      </w:r>
      <w:r w:rsidR="00163A09">
        <w:rPr>
          <w:lang w:val="en-ID"/>
        </w:rP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e","type":"article-journal","volume":"3"},"uris":["http://www.mendeley.com/documents/?uuid=433bbc02-dfe4-402b-bf61-e5717d6900a1"]}],"mendeley":{"formattedCitation":"(Jensen &amp; Meckling, 1976)","plainTextFormattedCitation":"(Jensen &amp; Meckling, 1976)","previouslyFormattedCitation":"(Jensen &amp; Meckling, 1976)"},"properties":{"noteIndex":0},"schema":"https://github.com/citation-style-language/schema/raw/master/csl-citation.json"}</w:instrText>
      </w:r>
      <w:r w:rsidR="00163A09">
        <w:rPr>
          <w:lang w:val="en-ID"/>
        </w:rPr>
        <w:fldChar w:fldCharType="separate"/>
      </w:r>
      <w:r w:rsidR="00163A09" w:rsidRPr="00163A09">
        <w:rPr>
          <w:noProof/>
          <w:lang w:val="en-ID"/>
        </w:rPr>
        <w:t>(Jensen &amp; Meckling, 1976)</w:t>
      </w:r>
      <w:r w:rsidR="00163A09">
        <w:rPr>
          <w:lang w:val="en-ID"/>
        </w:rPr>
        <w:fldChar w:fldCharType="end"/>
      </w:r>
      <w:r w:rsidR="006B0292" w:rsidRPr="006B0292">
        <w:rPr>
          <w:lang w:val="en-ID"/>
        </w:rPr>
        <w:t xml:space="preserve">. </w:t>
      </w:r>
      <w:r w:rsidR="00D037F8">
        <w:rPr>
          <w:lang w:val="en-ID"/>
        </w:rPr>
        <w:t>P</w:t>
      </w:r>
      <w:r w:rsidR="006B0292" w:rsidRPr="006B0292">
        <w:rPr>
          <w:lang w:val="en-ID"/>
        </w:rPr>
        <w:t>erspektif teori agensi</w:t>
      </w:r>
      <w:r w:rsidR="00D037F8">
        <w:rPr>
          <w:lang w:val="en-ID"/>
        </w:rPr>
        <w:t xml:space="preserve"> menunjukkan bahwa</w:t>
      </w:r>
      <w:r w:rsidR="006B0292" w:rsidRPr="006B0292">
        <w:rPr>
          <w:lang w:val="en-ID"/>
        </w:rPr>
        <w:t xml:space="preserve"> investor institusional memiliki kemampuan dan sumber daya yang lebih besar untuk melakukan pengawasan secara aktif terhadap kebijakan manajemen, sehingga dapat mendorong manajemen untuk mengambil keputusan yang berorientasi pada kepentingan jangka panjang perusahaan, termasuk pelaksanaan CSR sebagai upaya mengurangi konflik kepentingan antara manajemen dan pemegang saham.</w:t>
      </w:r>
    </w:p>
    <w:p w14:paraId="60FB95F9" w14:textId="2EAD9439" w:rsidR="006B0292" w:rsidRPr="006B0292" w:rsidRDefault="00E56B75" w:rsidP="00E56B75">
      <w:pPr>
        <w:rPr>
          <w:rFonts w:cstheme="majorBidi"/>
          <w:b/>
          <w:lang w:val="id-ID"/>
        </w:rPr>
      </w:pPr>
      <w:r>
        <w:rPr>
          <w:lang w:val="en-ID"/>
        </w:rPr>
        <w:tab/>
      </w:r>
      <w:r w:rsidR="00D037F8">
        <w:rPr>
          <w:rFonts w:cs="Times New Roman"/>
          <w:bCs/>
          <w:szCs w:val="24"/>
          <w:lang w:val="en-ID"/>
        </w:rPr>
        <w:t>K</w:t>
      </w:r>
      <w:r w:rsidR="006B0292" w:rsidRPr="006B0292">
        <w:rPr>
          <w:rFonts w:cs="Times New Roman"/>
          <w:bCs/>
          <w:szCs w:val="24"/>
          <w:lang w:val="en-ID"/>
        </w:rPr>
        <w:t>enyataannya tingkat pengungkapan CSR perusahaan manufaktur di Indonesia masih cenderung rendah dan bervariasi antar perusahaan, bahkan mengalami penurunan selama periode ketidakpastian ekonomi ketika perusahaan lebih memfokuskan diri pada pemenuhan kepentingan investor dan kreditor jangka pendek</w:t>
      </w:r>
      <w:r w:rsidR="00163A09">
        <w:rPr>
          <w:rFonts w:cs="Times New Roman"/>
          <w:bCs/>
          <w:szCs w:val="24"/>
          <w:lang w:val="en-ID"/>
        </w:rPr>
        <w:t xml:space="preserve"> </w:t>
      </w:r>
      <w:r w:rsidR="00163A09">
        <w:rPr>
          <w:rFonts w:cs="Times New Roman"/>
          <w:bCs/>
          <w:szCs w:val="24"/>
          <w:lang w:val="en-ID"/>
        </w:rPr>
        <w:fldChar w:fldCharType="begin" w:fldLock="1"/>
      </w:r>
      <w:r w:rsidR="004F64A9">
        <w:rPr>
          <w:rFonts w:cs="Times New Roman"/>
          <w:bCs/>
          <w:szCs w:val="24"/>
          <w:lang w:val="en-ID"/>
        </w:rPr>
        <w:instrText>ADDIN CSL_CITATION {"citationItems":[{"id":"ITEM-1","itemData":{"abstract":"A B S T R A C T This study aims to examine the relationship between CEO power and tax avoidance in mining companies listed on the Indonesia Stock Exchange (IDX) from 2018–2022. The research population consists of mining sector companies listed on the IDX during 2018–2022, using purposive sampling as the sample selection method. 64 mining sector companies over five years were selected as the research sample. The data analysis technique employed in this study is panel data analysis. The analysis results show that CEO power has a negative effect on tax avoidance, indicating that the more influential the CEO, the less likely the company is to engage in tax avoidance practices. Firm size and inventory intensity do not affect tax avoidance, whereas profitability and leverage positively and negatively affects tax avoidance, respectively. This study contributes to the literature on the factors influencing tax avoidance. Keywords: CEO power, leverage, tax avoidance, profitability Penelitian ini bertujuan untuk menguji hubungan antara CEO power dan penghindaran pajak pada perusahaan pertambangan yang terdaftar di Bursa Efek Indonesia (BEI) periode 2018–2022. Populasi penelitian menggunakan perusahaan sektor pertambangan yang terdaftar di BEI periode 2018–2022, dengan menggunakan metode purposive sampling sebagai metode pemilihan sampel. 64 perusahaan sektor pertambangan selama lima tahun dipilih sebagai sampel penelitian ini. Teknik analisis data penelitian ini menggunakan analisis data panel. Hasil analisis menunjukkan bahwa CEO power memiliki pengaruh negatif terhadap penghindaran pajak. Hal ini berarti bahwa semakin berkuasa CEO maka semakin kecil kemungkinan melakukan praktik penghindaran pajak. Ukuran perusahaan dan inventory intensity tidak memiliki pengaruh terhadap penghindaran pajak. Sedangkan profitabilitas dan leverage masing-masing memiliki pengaruh positif dan negatif terhadap penghindaran pajak. Penelitian ini berkontribusi dalam referensi yang berkaitan dengan faktor yang memengaruhi penghindaran pajak. Kata","author":[{"dropping-particle":"","family":"Nawangsari","given":"Ajeng Tita","non-dropping-particle":"","parse-names":false,"suffix":""},{"dropping-particle":"","family":"Junjunan","given":"Mochammad Ilyas","non-dropping-particle":"","parse-names":false,"suffix":""},{"dropping-particle":"","family":"Buchori","given":"Imam","non-dropping-particle":"","parse-names":false,"suffix":""}],"container-title":"Jurnal Akuntansi dan Bisnis","id":"ITEM-1","issue":"2","issued":{"date-parts":[["2021"]]},"page":"288-299","title":"PENGUNGKAPAN CORPORATE SOCIAL RESPONSIBILITY SELAMA PANDEMI COVID-19 DI INDONESIA","type":"article-journal","volume":"24"},"uris":["http://www.mendeley.com/documents/?uuid=cd2b4bb2-b585-4bfd-8627-3a8c811d8284"]}],"mendeley":{"formattedCitation":"(Nawangsari et al., 2021)","plainTextFormattedCitation":"(Nawangsari et al., 2021)","previouslyFormattedCitation":"(Nawangsari et al., 2021)"},"properties":{"noteIndex":0},"schema":"https://github.com/citation-style-language/schema/raw/master/csl-citation.json"}</w:instrText>
      </w:r>
      <w:r w:rsidR="00163A09">
        <w:rPr>
          <w:rFonts w:cs="Times New Roman"/>
          <w:bCs/>
          <w:szCs w:val="24"/>
          <w:lang w:val="en-ID"/>
        </w:rPr>
        <w:fldChar w:fldCharType="separate"/>
      </w:r>
      <w:r w:rsidR="00163A09" w:rsidRPr="00163A09">
        <w:rPr>
          <w:rFonts w:cs="Times New Roman"/>
          <w:bCs/>
          <w:noProof/>
          <w:szCs w:val="24"/>
          <w:lang w:val="en-ID"/>
        </w:rPr>
        <w:t>(Nawangsari et al., 2021)</w:t>
      </w:r>
      <w:r w:rsidR="00163A09">
        <w:rPr>
          <w:rFonts w:cs="Times New Roman"/>
          <w:bCs/>
          <w:szCs w:val="24"/>
          <w:lang w:val="en-ID"/>
        </w:rPr>
        <w:fldChar w:fldCharType="end"/>
      </w:r>
      <w:r w:rsidR="006B0292" w:rsidRPr="006B0292">
        <w:rPr>
          <w:rFonts w:cs="Times New Roman"/>
          <w:bCs/>
          <w:szCs w:val="24"/>
          <w:lang w:val="en-ID"/>
        </w:rPr>
        <w:t xml:space="preserve">. Kondisi ini mengindikasikan adanya kesenjangan antara potensi fungsi pengawasan investor institusional dengan realisasi pelaksanaan CSR di lapangan. Hal ini sejalan dengan temuan Dakhli </w:t>
      </w:r>
      <w:r w:rsidR="004F64A9">
        <w:rPr>
          <w:rFonts w:cs="Times New Roman"/>
          <w:bCs/>
          <w:szCs w:val="24"/>
          <w:lang w:val="en-ID"/>
        </w:rPr>
        <w:fldChar w:fldCharType="begin" w:fldLock="1"/>
      </w:r>
      <w:r w:rsidR="004F64A9">
        <w:rPr>
          <w:rFonts w:cs="Times New Roman"/>
          <w:bCs/>
          <w:szCs w:val="24"/>
          <w:lang w:val="en-ID"/>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rsidR="004F64A9">
        <w:rPr>
          <w:rFonts w:cs="Times New Roman"/>
          <w:bCs/>
          <w:szCs w:val="24"/>
          <w:lang w:val="en-ID"/>
        </w:rPr>
        <w:fldChar w:fldCharType="separate"/>
      </w:r>
      <w:r w:rsidR="004F64A9" w:rsidRPr="004F64A9">
        <w:rPr>
          <w:rFonts w:cs="Times New Roman"/>
          <w:bCs/>
          <w:noProof/>
          <w:szCs w:val="24"/>
          <w:lang w:val="en-ID"/>
        </w:rPr>
        <w:t>(2021)</w:t>
      </w:r>
      <w:r w:rsidR="004F64A9">
        <w:rPr>
          <w:rFonts w:cs="Times New Roman"/>
          <w:bCs/>
          <w:szCs w:val="24"/>
          <w:lang w:val="en-ID"/>
        </w:rPr>
        <w:fldChar w:fldCharType="end"/>
      </w:r>
      <w:r w:rsidR="006B0292" w:rsidRPr="006B0292">
        <w:rPr>
          <w:rFonts w:cs="Times New Roman"/>
          <w:bCs/>
          <w:szCs w:val="24"/>
          <w:lang w:val="en-ID"/>
        </w:rPr>
        <w:t xml:space="preserve"> yang menyatakan bahwa kepemilikan institusional berpengaruh positif terhadap CSR, dan diperkuat oleh Aulia et al. </w:t>
      </w:r>
      <w:r w:rsidR="004F64A9">
        <w:rPr>
          <w:rFonts w:cs="Times New Roman"/>
          <w:bCs/>
          <w:szCs w:val="24"/>
          <w:lang w:val="en-ID"/>
        </w:rPr>
        <w:fldChar w:fldCharType="begin" w:fldLock="1"/>
      </w:r>
      <w:r w:rsidR="004F64A9">
        <w:rPr>
          <w:rFonts w:cs="Times New Roman"/>
          <w:bCs/>
          <w:szCs w:val="24"/>
          <w:lang w:val="en-ID"/>
        </w:rPr>
        <w:instrText>ADDIN CSL_CITATION {"citationItems":[{"id":"ITEM-1","itemData":{"author":[{"dropping-particle":"","family":"Aulia","given":"Nurul","non-dropping-particle":"","parse-names":false,"suffix":""},{"dropping-particle":"","family":"Hikmat","given":"Asep","non-dropping-particle":"","parse-names":false,"suffix":""},{"dropping-particle":"","family":"Nur","given":"Tuah","non-dropping-particle":"","parse-names":false,"suffix":""},{"dropping-particle":"","family":"Saleh","given":"Munandi","non-dropping-particle":"","parse-names":false,"suffix":""}],"id":"ITEM-1","issued":{"date-parts":[["2026"]]},"page":"64-76","title":"PENGARUH KEPEMILIKAN INSTITUSIONAL, KEPEMILIKAN MANAJERIAL, DAN KOMITE AUDIT TERHADAP NILAI PERUSAHAAN BANK BUMN PERIODE 2021-2024","type":"article-journal","volume":"8"},"suppress-author":1,"uris":["http://www.mendeley.com/documents/?uuid=53e9780c-a424-4933-bc11-eb650ce8157c"]}],"mendeley":{"formattedCitation":"(2026)","plainTextFormattedCitation":"(2026)","previouslyFormattedCitation":"(2026)"},"properties":{"noteIndex":0},"schema":"https://github.com/citation-style-language/schema/raw/master/csl-citation.json"}</w:instrText>
      </w:r>
      <w:r w:rsidR="004F64A9">
        <w:rPr>
          <w:rFonts w:cs="Times New Roman"/>
          <w:bCs/>
          <w:szCs w:val="24"/>
          <w:lang w:val="en-ID"/>
        </w:rPr>
        <w:fldChar w:fldCharType="separate"/>
      </w:r>
      <w:r w:rsidR="004F64A9" w:rsidRPr="004F64A9">
        <w:rPr>
          <w:rFonts w:cs="Times New Roman"/>
          <w:bCs/>
          <w:noProof/>
          <w:szCs w:val="24"/>
          <w:lang w:val="en-ID"/>
        </w:rPr>
        <w:t>(2026)</w:t>
      </w:r>
      <w:r w:rsidR="004F64A9">
        <w:rPr>
          <w:rFonts w:cs="Times New Roman"/>
          <w:bCs/>
          <w:szCs w:val="24"/>
          <w:lang w:val="en-ID"/>
        </w:rPr>
        <w:fldChar w:fldCharType="end"/>
      </w:r>
      <w:r w:rsidR="006B0292" w:rsidRPr="006B0292">
        <w:rPr>
          <w:rFonts w:cs="Times New Roman"/>
          <w:bCs/>
          <w:szCs w:val="24"/>
          <w:lang w:val="en-ID"/>
        </w:rPr>
        <w:t xml:space="preserve"> yang menemukan bahwa kepemilikan institusional memperkuat pengambilan keputusan yang berorientasi pada keberlanjutan perusahaan. </w:t>
      </w:r>
      <w:r w:rsidR="00D037F8">
        <w:rPr>
          <w:rFonts w:cs="Times New Roman"/>
          <w:bCs/>
          <w:szCs w:val="24"/>
          <w:lang w:val="en-ID"/>
        </w:rPr>
        <w:t xml:space="preserve">Penelitian </w:t>
      </w:r>
      <w:r w:rsidR="006B0292" w:rsidRPr="006B0292">
        <w:rPr>
          <w:rFonts w:cs="Times New Roman"/>
          <w:bCs/>
          <w:szCs w:val="24"/>
          <w:lang w:val="en-ID"/>
        </w:rPr>
        <w:t xml:space="preserve">Wahida et al. </w:t>
      </w:r>
      <w:r w:rsidR="004F64A9">
        <w:rPr>
          <w:rFonts w:cs="Times New Roman"/>
          <w:bCs/>
          <w:szCs w:val="24"/>
          <w:lang w:val="en-ID"/>
        </w:rPr>
        <w:fldChar w:fldCharType="begin" w:fldLock="1"/>
      </w:r>
      <w:r w:rsidR="004F64A9">
        <w:rPr>
          <w:rFonts w:cs="Times New Roman"/>
          <w:bCs/>
          <w:szCs w:val="24"/>
          <w:lang w:val="en-ID"/>
        </w:rPr>
        <w:instrText>ADDIN CSL_CITATION {"citationItems":[{"id":"ITEM-1","itemData":{"DOI":"10.24036/jkmw02100370","abstract":"The purpose of this study is to examine the effect of ownership structure on the firm performance of manufacturing companies listed on the Indonesia Stock Exchange (IDX).  This research is a causative study. The population in this study are all manufacturing companies listed on the Indonesia Stock Exchange for the period 2013-2018. This study uses secondary data published in the Indonesian Stock Exchange (IDX). Based on data collection, a sample of 75 companies from 144 listed manufacturing companies was obtained. The analytical method used is Multiple Regression using SPSS 24 data processing applications. The results of this study conclude (1) Family Ownership does not have a significant positive effect on firm performance (2) Managerial Ownership has a significant negative effect on firm performance (3) Institutional Ownership has a significant positive effect on firm performance (4) Foreign ownership does not have a significant positive effect on firm performance.  Keywords: Ownership structure, firm performance, Indonesia Stock Exchange.","author":[{"dropping-particle":"","family":"Wahida","given":"Neneng","non-dropping-particle":"","parse-names":false,"suffix":""},{"dropping-particle":"","family":"Rahmiati","given":"Rahmiati","non-dropping-particle":"","parse-names":false,"suffix":""},{"dropping-particle":"","family":"Zulvia","given":"Yolandafitri","non-dropping-particle":"","parse-names":false,"suffix":""}],"container-title":"Jurnal Kajian Manajemen dan Wirausaha","id":"ITEM-1","issue":"4","issued":{"date-parts":[["2020"]]},"page":"186","title":"Pengaruh struktur kepemilikan terhadap kinerja perusahaan manufaktur yang terdaftar di bursa efek Indonesia","type":"article-journal","volume":"2"},"suppress-author":1,"uris":["http://www.mendeley.com/documents/?uuid=eedd1e0a-7de9-46bf-9fda-825fc4e48d9c"]}],"mendeley":{"formattedCitation":"(2020)","plainTextFormattedCitation":"(2020)","previouslyFormattedCitation":"(2020)"},"properties":{"noteIndex":0},"schema":"https://github.com/citation-style-language/schema/raw/master/csl-citation.json"}</w:instrText>
      </w:r>
      <w:r w:rsidR="004F64A9">
        <w:rPr>
          <w:rFonts w:cs="Times New Roman"/>
          <w:bCs/>
          <w:szCs w:val="24"/>
          <w:lang w:val="en-ID"/>
        </w:rPr>
        <w:fldChar w:fldCharType="separate"/>
      </w:r>
      <w:r w:rsidR="004F64A9" w:rsidRPr="004F64A9">
        <w:rPr>
          <w:rFonts w:cs="Times New Roman"/>
          <w:bCs/>
          <w:noProof/>
          <w:szCs w:val="24"/>
          <w:lang w:val="en-ID"/>
        </w:rPr>
        <w:t>(2020)</w:t>
      </w:r>
      <w:r w:rsidR="004F64A9">
        <w:rPr>
          <w:rFonts w:cs="Times New Roman"/>
          <w:bCs/>
          <w:szCs w:val="24"/>
          <w:lang w:val="en-ID"/>
        </w:rPr>
        <w:fldChar w:fldCharType="end"/>
      </w:r>
      <w:r w:rsidR="006B0292" w:rsidRPr="006B0292">
        <w:rPr>
          <w:rFonts w:cs="Times New Roman"/>
          <w:bCs/>
          <w:szCs w:val="24"/>
          <w:lang w:val="en-ID"/>
        </w:rPr>
        <w:t xml:space="preserve"> menemukan sebaliknya, </w:t>
      </w:r>
      <w:r w:rsidR="006B0292" w:rsidRPr="006B0292">
        <w:rPr>
          <w:rFonts w:cs="Times New Roman"/>
          <w:bCs/>
          <w:szCs w:val="24"/>
          <w:lang w:val="en-ID"/>
        </w:rPr>
        <w:lastRenderedPageBreak/>
        <w:t>bahwa kepemilikan institusional belum secara efektif mendorong pelaksanaan CSR karena sebagian investor institusional lebih berorientasi pada laba jangka pendek. Ketidakkonsistenan ini menunjukkan bahwa pengaruh kepemilikan institusional terhadap CSR masih relevan untuk dikaji lebih lanjut, khususnya pada perusahaan manufaktur di Indonesia. Berdasarkan uraian tersebut, maka hipotesis yang diajukan adalah:</w:t>
      </w:r>
    </w:p>
    <w:p w14:paraId="2EB55ACF" w14:textId="77777777" w:rsidR="006B0292" w:rsidRPr="006B0292" w:rsidRDefault="006B0292" w:rsidP="00E56B75">
      <w:pPr>
        <w:pStyle w:val="BodyText"/>
        <w:spacing w:before="179"/>
        <w:rPr>
          <w:rFonts w:cs="Times New Roman"/>
          <w:b/>
          <w:bCs/>
          <w:lang w:val="id-ID"/>
        </w:rPr>
      </w:pPr>
      <w:r w:rsidRPr="006B0292">
        <w:rPr>
          <w:rFonts w:cs="Times New Roman"/>
          <w:b/>
          <w:bCs/>
          <w:lang w:val="id-ID"/>
        </w:rPr>
        <w:t xml:space="preserve">H2: </w:t>
      </w:r>
      <w:r w:rsidRPr="006B0292">
        <w:rPr>
          <w:rFonts w:cs="Times New Roman"/>
          <w:b/>
          <w:bCs/>
          <w:lang w:val="en-US"/>
        </w:rPr>
        <w:t>Kepemilikan Institusi</w:t>
      </w:r>
      <w:r w:rsidRPr="006B0292">
        <w:rPr>
          <w:rFonts w:cs="Times New Roman"/>
          <w:b/>
          <w:bCs/>
          <w:lang w:val="id-ID"/>
        </w:rPr>
        <w:t xml:space="preserve"> berpengaruh positif terhadap </w:t>
      </w:r>
      <w:r w:rsidRPr="00D037F8">
        <w:rPr>
          <w:rFonts w:cs="Times New Roman"/>
          <w:b/>
          <w:bCs/>
          <w:i/>
          <w:iCs/>
          <w:lang w:val="id-ID"/>
        </w:rPr>
        <w:t>Corporate Social Responsibility</w:t>
      </w:r>
      <w:r w:rsidRPr="006B0292">
        <w:rPr>
          <w:rFonts w:cs="Times New Roman"/>
          <w:b/>
          <w:bCs/>
          <w:lang w:val="id-ID"/>
        </w:rPr>
        <w:t>.</w:t>
      </w:r>
    </w:p>
    <w:p w14:paraId="2F6766EA" w14:textId="4F6D74B8" w:rsidR="006B0292" w:rsidRPr="00E56B75" w:rsidRDefault="00E56B75" w:rsidP="00E56B75">
      <w:pPr>
        <w:pStyle w:val="Heading3"/>
        <w:rPr>
          <w:b w:val="0"/>
          <w:bCs/>
          <w:color w:val="auto"/>
          <w:lang w:val="id-ID"/>
        </w:rPr>
      </w:pPr>
      <w:bookmarkStart w:id="27" w:name="_Toc235560221"/>
      <w:r w:rsidRPr="00E56B75">
        <w:rPr>
          <w:bCs/>
          <w:color w:val="auto"/>
          <w:lang w:val="en-US"/>
        </w:rPr>
        <w:t>2.4.3</w:t>
      </w:r>
      <w:r w:rsidRPr="00E56B75">
        <w:rPr>
          <w:bCs/>
          <w:color w:val="auto"/>
          <w:lang w:val="en-US"/>
        </w:rPr>
        <w:tab/>
      </w:r>
      <w:r w:rsidR="006B0292" w:rsidRPr="00E56B75">
        <w:rPr>
          <w:bCs/>
          <w:color w:val="auto"/>
          <w:lang w:val="en-US"/>
        </w:rPr>
        <w:t xml:space="preserve">Kinerja Perusahaan, Kepemilikan Manajerial, dan </w:t>
      </w:r>
      <w:r w:rsidR="006B0292" w:rsidRPr="00D037F8">
        <w:rPr>
          <w:bCs/>
          <w:i/>
          <w:iCs/>
          <w:color w:val="auto"/>
          <w:lang w:val="en-US"/>
        </w:rPr>
        <w:t>Corporate Social Responsibility</w:t>
      </w:r>
      <w:bookmarkEnd w:id="27"/>
    </w:p>
    <w:p w14:paraId="2CE3EE0F" w14:textId="733EA547" w:rsidR="006B0292" w:rsidRPr="006B0292" w:rsidRDefault="00E56B75" w:rsidP="00E56B75">
      <w:pPr>
        <w:pStyle w:val="BodyText"/>
        <w:spacing w:before="179"/>
        <w:rPr>
          <w:rFonts w:cs="Times New Roman"/>
          <w:bCs/>
          <w:lang w:val="en-ID"/>
        </w:rPr>
      </w:pPr>
      <w:r>
        <w:rPr>
          <w:rFonts w:cs="Times New Roman"/>
          <w:bCs/>
          <w:lang w:val="en-ID"/>
        </w:rPr>
        <w:tab/>
      </w:r>
      <w:r w:rsidR="006B0292" w:rsidRPr="006B0292">
        <w:rPr>
          <w:rFonts w:cs="Times New Roman"/>
          <w:bCs/>
          <w:lang w:val="en-ID"/>
        </w:rPr>
        <w:t xml:space="preserve">Kinerja perusahaan merupakan cerminan kemampuan perusahaan dalam menghasilkan nilai bagi pemegang saham, yang dalam penelitian ini diukur menggunakan Tobin's Q sebagai proksi berbasis nilai pasar. </w:t>
      </w:r>
      <w:r w:rsidR="00D037F8">
        <w:rPr>
          <w:rFonts w:cs="Times New Roman"/>
          <w:bCs/>
          <w:lang w:val="en-ID"/>
        </w:rPr>
        <w:t>P</w:t>
      </w:r>
      <w:r w:rsidR="006B0292" w:rsidRPr="006B0292">
        <w:rPr>
          <w:rFonts w:cs="Times New Roman"/>
          <w:bCs/>
          <w:lang w:val="en-ID"/>
        </w:rPr>
        <w:t>erspektif teori agensi</w:t>
      </w:r>
      <w:r w:rsidR="00D037F8">
        <w:rPr>
          <w:rFonts w:cs="Times New Roman"/>
          <w:bCs/>
          <w:lang w:val="en-ID"/>
        </w:rPr>
        <w:t xml:space="preserve"> menunjukkan bahwa </w:t>
      </w:r>
      <w:r w:rsidR="006B0292" w:rsidRPr="006B0292">
        <w:rPr>
          <w:rFonts w:cs="Times New Roman"/>
          <w:bCs/>
          <w:lang w:val="en-ID"/>
        </w:rPr>
        <w:t>kepemilikan manajerial diharapkan dapat menyelaraskan kepentingan manajer dengan pemegang saham, termasuk dalam mendorong pelaksanaan CSR sebagai bentuk tanggung jawab jangka panjang.</w:t>
      </w:r>
      <w:r w:rsidR="00D037F8">
        <w:rPr>
          <w:rFonts w:cs="Times New Roman"/>
          <w:bCs/>
          <w:lang w:val="en-ID"/>
        </w:rPr>
        <w:t xml:space="preserve"> </w:t>
      </w:r>
      <w:r w:rsidR="00D037F8" w:rsidRPr="00D037F8">
        <w:rPr>
          <w:rFonts w:cs="Times New Roman"/>
          <w:bCs/>
        </w:rPr>
        <w:t>Kinerja perusahaan yang baik memungkinkan manajer yang sekaligus pemilik saham memiliki sumber daya yang lebih memadai untuk mendukung pelaksanaan CSR, sekaligus dapat menjadikan CSR sebagai sinyal positif kepada pemegang saham bahwa manajemen telah menjalankan tugasnya secara bertanggung jawab</w:t>
      </w:r>
      <w:r w:rsidR="006B0292" w:rsidRPr="006B0292">
        <w:rPr>
          <w:rFonts w:cs="Times New Roman"/>
          <w:bCs/>
          <w:lang w:val="en-ID"/>
        </w:rPr>
        <w:t xml:space="preserve"> </w:t>
      </w:r>
      <w:r w:rsidR="006B0292" w:rsidRPr="006B0292">
        <w:rPr>
          <w:rFonts w:cs="Times New Roman"/>
          <w:bCs/>
          <w:lang w:val="en-ID"/>
        </w:rPr>
        <w:fldChar w:fldCharType="begin" w:fldLock="1"/>
      </w:r>
      <w:r w:rsidR="00163A09">
        <w:rPr>
          <w:rFonts w:cs="Times New Roman"/>
          <w:bCs/>
          <w:lang w:val="en-ID"/>
        </w:rP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e","type":"article-journal","volume":"3"},"uris":["http://www.mendeley.com/documents/?uuid=433bbc02-dfe4-402b-bf61-e5717d6900a1"]}],"mendeley":{"formattedCitation":"(Jensen &amp; Meckling, 1976)","plainTextFormattedCitation":"(Jensen &amp; Meckling, 1976)","previouslyFormattedCitation":"(Jensen &amp; Meckling, 1976)"},"properties":{"noteIndex":0},"schema":"https://github.com/citation-style-language/schema/raw/master/csl-citation.json"}</w:instrText>
      </w:r>
      <w:r w:rsidR="006B0292" w:rsidRPr="006B0292">
        <w:rPr>
          <w:rFonts w:cs="Times New Roman"/>
          <w:bCs/>
          <w:lang w:val="en-ID"/>
        </w:rPr>
        <w:fldChar w:fldCharType="separate"/>
      </w:r>
      <w:r w:rsidR="006B0292" w:rsidRPr="006B0292">
        <w:rPr>
          <w:rFonts w:cs="Times New Roman"/>
          <w:bCs/>
          <w:noProof/>
          <w:lang w:val="en-ID"/>
        </w:rPr>
        <w:t>(Jensen &amp; Meckling, 1976)</w:t>
      </w:r>
      <w:r w:rsidR="006B0292" w:rsidRPr="006B0292">
        <w:rPr>
          <w:rFonts w:cs="Times New Roman"/>
          <w:lang w:val="en-US"/>
        </w:rPr>
        <w:fldChar w:fldCharType="end"/>
      </w:r>
      <w:r w:rsidR="006B0292" w:rsidRPr="006B0292">
        <w:rPr>
          <w:rFonts w:cs="Times New Roman"/>
          <w:bCs/>
          <w:lang w:val="en-ID"/>
        </w:rPr>
        <w:t>.</w:t>
      </w:r>
    </w:p>
    <w:p w14:paraId="3F308121" w14:textId="5150F697" w:rsidR="006B0292" w:rsidRPr="006B0292" w:rsidRDefault="00E56B75" w:rsidP="00E56B75">
      <w:pPr>
        <w:pStyle w:val="BodyText"/>
        <w:spacing w:before="179"/>
        <w:rPr>
          <w:rFonts w:cs="Times New Roman"/>
          <w:bCs/>
          <w:lang w:val="en-ID"/>
        </w:rPr>
      </w:pPr>
      <w:r>
        <w:rPr>
          <w:rFonts w:cs="Times New Roman"/>
          <w:bCs/>
          <w:lang w:val="en-ID"/>
        </w:rPr>
        <w:tab/>
      </w:r>
      <w:r w:rsidR="00D037F8" w:rsidRPr="00D037F8">
        <w:rPr>
          <w:rFonts w:cs="Times New Roman"/>
          <w:bCs/>
        </w:rPr>
        <w:t xml:space="preserve">Kondisi kinerja perusahaan yang baik, di sisi lain, juga dapat menimbulkan </w:t>
      </w:r>
      <w:r w:rsidR="00D037F8" w:rsidRPr="00D037F8">
        <w:rPr>
          <w:rFonts w:cs="Times New Roman"/>
          <w:bCs/>
        </w:rPr>
        <w:lastRenderedPageBreak/>
        <w:t>persoalan agensi lain</w:t>
      </w:r>
      <w:r w:rsidR="006B0292" w:rsidRPr="006B0292">
        <w:rPr>
          <w:rFonts w:cs="Times New Roman"/>
          <w:bCs/>
          <w:lang w:val="en-ID"/>
        </w:rPr>
        <w:t>.</w:t>
      </w:r>
      <w:r w:rsidR="00A57270">
        <w:rPr>
          <w:rFonts w:cs="Times New Roman"/>
          <w:bCs/>
          <w:lang w:val="en-ID"/>
        </w:rPr>
        <w:t xml:space="preserve"> Penelitian</w:t>
      </w:r>
      <w:r w:rsidR="006B0292" w:rsidRPr="006B0292">
        <w:rPr>
          <w:rFonts w:cs="Times New Roman"/>
          <w:bCs/>
          <w:lang w:val="en-ID"/>
        </w:rPr>
        <w:t xml:space="preserve"> Xu dan Yang </w:t>
      </w:r>
      <w:r w:rsidR="006B0292" w:rsidRPr="006B0292">
        <w:rPr>
          <w:rFonts w:cs="Times New Roman"/>
          <w:bCs/>
          <w:lang w:val="en-ID"/>
        </w:rPr>
        <w:fldChar w:fldCharType="begin" w:fldLock="1"/>
      </w:r>
      <w:r w:rsidR="006B0292" w:rsidRPr="006B0292">
        <w:rPr>
          <w:rFonts w:cs="Times New Roman"/>
          <w:bCs/>
          <w:lang w:val="en-ID"/>
        </w:rPr>
        <w:instrText>ADDIN CSL_CITATION {"citationItems":[{"id":"ITEM-1","itemData":{"DOI":"10.1016/j.heliyon.2023.e14240","ISSN":"24058440","abstract":"Using data on Chinese A-share listed firms from 2008 to 2017, we explore how corporate social responsibility (CSR) performance is affected by managerial short-termism and what factors influence the association between the two. First, by employing text analysis in conjunction with machine learning, we construct a new managerial short-termism indicator. Using panel fixed models, we find that managerial short-termism has an adverse impact on CSR performance, and the results are consistent in a series of robustness checks. The heterogeneous test results show that the negative effect is significant only for firms with lower internal corporate governance, for firms in less competitive industries, for firms with less analyst attention, and for state-owned enterprises (SOEs). Additionally, a better institutional environment weakens the negative impact of managerial short-termism on CSR performance. The findings shed light on policy implications for emerging countries.","author":[{"dropping-particle":"","family":"Xu","given":"Xiaohui","non-dropping-particle":"","parse-names":false,"suffix":""},{"dropping-particle":"","family":"Yang","given":"Jun","non-dropping-particle":"","parse-names":false,"suffix":""}],"container-title":"Heliyon","id":"ITEM-1","issue":"3","issued":{"date-parts":[["2023"]]},"page":"e14240","publisher":"Elsevier Ltd","title":"Does managerial short-termism always matter in a firm's corporate social responsibility performance? Evidence from China","type":"article-journal","volume":"9"},"suppress-author":1,"uris":["http://www.mendeley.com/documents/?uuid=74d78b5a-226c-4284-8e00-c4b8da928a83"]}],"mendeley":{"formattedCitation":"(2023)","plainTextFormattedCitation":"(2023)","previouslyFormattedCitation":"(2023)"},"properties":{"noteIndex":0},"schema":"https://github.com/citation-style-language/schema/raw/master/csl-citation.json"}</w:instrText>
      </w:r>
      <w:r w:rsidR="006B0292" w:rsidRPr="006B0292">
        <w:rPr>
          <w:rFonts w:cs="Times New Roman"/>
          <w:bCs/>
          <w:lang w:val="en-ID"/>
        </w:rPr>
        <w:fldChar w:fldCharType="separate"/>
      </w:r>
      <w:r w:rsidR="006B0292" w:rsidRPr="006B0292">
        <w:rPr>
          <w:rFonts w:cs="Times New Roman"/>
          <w:bCs/>
          <w:noProof/>
          <w:lang w:val="en-ID"/>
        </w:rPr>
        <w:t>(2023)</w:t>
      </w:r>
      <w:r w:rsidR="006B0292" w:rsidRPr="006B0292">
        <w:rPr>
          <w:rFonts w:cs="Times New Roman"/>
          <w:lang w:val="en-US"/>
        </w:rPr>
        <w:fldChar w:fldCharType="end"/>
      </w:r>
      <w:r w:rsidR="006B0292" w:rsidRPr="006B0292">
        <w:rPr>
          <w:rFonts w:cs="Times New Roman"/>
          <w:bCs/>
          <w:lang w:val="en-ID"/>
        </w:rPr>
        <w:t xml:space="preserve"> menunjukkan bahwa CSR dapat menjadi arena konflik kepentingan antara manajer dan pemegang saham, di mana ketika pengawasan terhadap manajer lemah, manajer memiliki ruang yang lebih besar untuk mengalokasikan sumber daya perusahaan berdasarkan kepentingan pribadi tanpa mudah terdeteksi. </w:t>
      </w:r>
      <w:r w:rsidR="00A57270" w:rsidRPr="00A57270">
        <w:rPr>
          <w:rFonts w:cs="Times New Roman"/>
          <w:bCs/>
        </w:rPr>
        <w:t>Hal ini menunjukkan bahwa kinerja perusahaan yang baik tidak secara otomatis memperkuat dorongan manajer pemilik saham untuk melaksanakan CSR, karena arah pengaruhnya bergantung pada apakah manajer berorientasi pada kepentingan pemegang saham jangka panjang atau pada kepentingan pribadi jangka pendek.</w:t>
      </w:r>
      <w:r w:rsidR="006B0292" w:rsidRPr="006B0292">
        <w:rPr>
          <w:rFonts w:cs="Times New Roman"/>
          <w:bCs/>
          <w:lang w:val="en-ID"/>
        </w:rPr>
        <w:t xml:space="preserve"> Kondisi inilah yang menjadi akar ketidakkonsistenan temuan mengenai peran moderasi kinerja perusahaan dalam hubungan kepemilikan manajerial dan CSR.</w:t>
      </w:r>
    </w:p>
    <w:p w14:paraId="42D693FF" w14:textId="7D21B665" w:rsidR="006B0292" w:rsidRPr="006B0292" w:rsidRDefault="00E56B75" w:rsidP="00E56B75">
      <w:pPr>
        <w:pStyle w:val="BodyText"/>
        <w:spacing w:before="179"/>
        <w:rPr>
          <w:rFonts w:cs="Times New Roman"/>
          <w:bCs/>
          <w:lang w:val="en-ID"/>
        </w:rPr>
      </w:pPr>
      <w:r>
        <w:rPr>
          <w:rFonts w:cs="Times New Roman"/>
          <w:bCs/>
          <w:lang w:val="en-ID"/>
        </w:rPr>
        <w:tab/>
      </w:r>
      <w:r w:rsidR="006B0292" w:rsidRPr="006B0292">
        <w:rPr>
          <w:rFonts w:cs="Times New Roman"/>
          <w:bCs/>
          <w:lang w:val="en-ID"/>
        </w:rPr>
        <w:t xml:space="preserve">Dakhli </w:t>
      </w:r>
      <w:r w:rsidR="006B0292" w:rsidRPr="006B0292">
        <w:rPr>
          <w:rFonts w:cs="Times New Roman"/>
          <w:bCs/>
          <w:lang w:val="en-ID"/>
        </w:rPr>
        <w:fldChar w:fldCharType="begin" w:fldLock="1"/>
      </w:r>
      <w:r w:rsidR="006B0292" w:rsidRPr="006B0292">
        <w:rPr>
          <w:rFonts w:cs="Times New Roman"/>
          <w:bCs/>
          <w:lang w:val="en-ID"/>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rsidR="006B0292" w:rsidRPr="006B0292">
        <w:rPr>
          <w:rFonts w:cs="Times New Roman"/>
          <w:bCs/>
          <w:lang w:val="en-ID"/>
        </w:rPr>
        <w:fldChar w:fldCharType="separate"/>
      </w:r>
      <w:r w:rsidR="006B0292" w:rsidRPr="006B0292">
        <w:rPr>
          <w:rFonts w:cs="Times New Roman"/>
          <w:bCs/>
          <w:noProof/>
          <w:lang w:val="en-ID"/>
        </w:rPr>
        <w:t>(2021)</w:t>
      </w:r>
      <w:r w:rsidR="006B0292" w:rsidRPr="006B0292">
        <w:rPr>
          <w:rFonts w:cs="Times New Roman"/>
          <w:lang w:val="en-US"/>
        </w:rPr>
        <w:fldChar w:fldCharType="end"/>
      </w:r>
      <w:r w:rsidR="006B0292" w:rsidRPr="006B0292">
        <w:rPr>
          <w:rFonts w:cs="Times New Roman"/>
          <w:bCs/>
          <w:lang w:val="en-ID"/>
        </w:rPr>
        <w:t xml:space="preserve"> menemukan bahwa kinerja perusahaan berperan sebagai variabel yang memoderasi hubungan antara struktur kepemilikan dan CSR, di mana perusahaan dengan kinerja yang lebih baik cenderung memiliki kapasitas lebih besar untuk melaksanakan CSR secara konsisten. Meskipun demikian, karena arah moderasi ini masih dapat bergerak ke dua arah tergantung orientasi manajer, peran kinerja perusahaan sebagai moderator hubungan kepemilikan manajerial dan CSR masih relevan untuk dikaji lebih lanjut pada konteks perusahaan manufaktur di Indonesia. </w:t>
      </w:r>
      <w:r w:rsidR="006B0292" w:rsidRPr="006B0292">
        <w:rPr>
          <w:rFonts w:cs="Times New Roman"/>
          <w:lang w:val="en-ID"/>
        </w:rPr>
        <w:t>Berdasarkan uraian tersebut, maka hipotesis yang diajukan adalah:</w:t>
      </w:r>
    </w:p>
    <w:p w14:paraId="772D5ACD" w14:textId="22015DF0" w:rsidR="00E56B75" w:rsidRPr="006B0292" w:rsidRDefault="006B0292" w:rsidP="00E56B75">
      <w:pPr>
        <w:pStyle w:val="BodyText"/>
        <w:spacing w:before="179"/>
        <w:rPr>
          <w:rFonts w:cs="Times New Roman"/>
          <w:b/>
          <w:bCs/>
          <w:lang w:val="id-ID"/>
        </w:rPr>
      </w:pPr>
      <w:r w:rsidRPr="006B0292">
        <w:rPr>
          <w:rFonts w:cs="Times New Roman"/>
          <w:b/>
          <w:bCs/>
          <w:lang w:val="id-ID"/>
        </w:rPr>
        <w:t xml:space="preserve">H3: </w:t>
      </w:r>
      <w:r w:rsidRPr="006B0292">
        <w:rPr>
          <w:rFonts w:cs="Times New Roman"/>
          <w:b/>
          <w:bCs/>
          <w:lang w:val="en-US"/>
        </w:rPr>
        <w:t>Kinerja Perusahaan memoderasi</w:t>
      </w:r>
      <w:r w:rsidRPr="006B0292">
        <w:rPr>
          <w:rFonts w:cs="Times New Roman"/>
          <w:b/>
          <w:bCs/>
          <w:lang w:val="id-ID"/>
        </w:rPr>
        <w:t xml:space="preserve"> pengaruh </w:t>
      </w:r>
      <w:r w:rsidRPr="006B0292">
        <w:rPr>
          <w:rFonts w:cs="Times New Roman"/>
          <w:b/>
          <w:bCs/>
          <w:lang w:val="en-US"/>
        </w:rPr>
        <w:t xml:space="preserve">Kepemilikan Manajerial </w:t>
      </w:r>
      <w:r w:rsidRPr="006B0292">
        <w:rPr>
          <w:rFonts w:cs="Times New Roman"/>
          <w:b/>
          <w:bCs/>
          <w:lang w:val="id-ID"/>
        </w:rPr>
        <w:t xml:space="preserve">terhadap </w:t>
      </w:r>
      <w:r w:rsidRPr="00A57270">
        <w:rPr>
          <w:rFonts w:cs="Times New Roman"/>
          <w:b/>
          <w:bCs/>
          <w:i/>
          <w:iCs/>
          <w:lang w:val="id-ID"/>
        </w:rPr>
        <w:t>Corporate Social Responsibility</w:t>
      </w:r>
      <w:r w:rsidRPr="006B0292">
        <w:rPr>
          <w:rFonts w:cs="Times New Roman"/>
          <w:b/>
          <w:bCs/>
          <w:lang w:val="id-ID"/>
        </w:rPr>
        <w:t>.</w:t>
      </w:r>
    </w:p>
    <w:p w14:paraId="5A210F5F" w14:textId="1F277391" w:rsidR="006B0292" w:rsidRPr="00E56B75" w:rsidRDefault="00E56B75" w:rsidP="00E56B75">
      <w:pPr>
        <w:pStyle w:val="Heading3"/>
        <w:rPr>
          <w:b w:val="0"/>
          <w:bCs/>
          <w:color w:val="auto"/>
          <w:lang w:val="id-ID"/>
        </w:rPr>
      </w:pPr>
      <w:bookmarkStart w:id="28" w:name="_Toc235560222"/>
      <w:r w:rsidRPr="00E56B75">
        <w:rPr>
          <w:bCs/>
          <w:color w:val="auto"/>
          <w:lang w:val="en-US"/>
        </w:rPr>
        <w:lastRenderedPageBreak/>
        <w:t>2.4.4</w:t>
      </w:r>
      <w:r w:rsidRPr="00E56B75">
        <w:rPr>
          <w:bCs/>
          <w:color w:val="auto"/>
          <w:lang w:val="en-US"/>
        </w:rPr>
        <w:tab/>
      </w:r>
      <w:r w:rsidR="006B0292" w:rsidRPr="00E56B75">
        <w:rPr>
          <w:bCs/>
          <w:color w:val="auto"/>
          <w:lang w:val="en-US"/>
        </w:rPr>
        <w:t xml:space="preserve">Kinerja Perusahaan, Kepemilikan Institusional, dan </w:t>
      </w:r>
      <w:r w:rsidR="006B0292" w:rsidRPr="00A57270">
        <w:rPr>
          <w:bCs/>
          <w:i/>
          <w:iCs/>
          <w:color w:val="auto"/>
          <w:lang w:val="en-US"/>
        </w:rPr>
        <w:t>Corporate Social Responsibility</w:t>
      </w:r>
      <w:bookmarkEnd w:id="28"/>
    </w:p>
    <w:p w14:paraId="41578F32" w14:textId="06E9C9EF" w:rsidR="006B0292" w:rsidRPr="006B0292" w:rsidRDefault="00E56B75" w:rsidP="00E56B75">
      <w:pPr>
        <w:pStyle w:val="BodyText"/>
        <w:spacing w:before="179"/>
        <w:rPr>
          <w:rFonts w:cs="Times New Roman"/>
          <w:bCs/>
          <w:lang w:val="en-ID"/>
        </w:rPr>
      </w:pPr>
      <w:r>
        <w:rPr>
          <w:rFonts w:cs="Times New Roman"/>
          <w:bCs/>
          <w:lang w:val="en-ID"/>
        </w:rPr>
        <w:tab/>
      </w:r>
      <w:r w:rsidR="006B0292" w:rsidRPr="006B0292">
        <w:rPr>
          <w:rFonts w:cs="Times New Roman"/>
          <w:bCs/>
          <w:lang w:val="en-ID"/>
        </w:rPr>
        <w:t xml:space="preserve">Tobin's Q sebagai proksi kinerja perusahaan berbasis nilai pasar mencerminkan sejauh mana pasar menilai kemampuan perusahaan dalam menciptakan nilai di atas aset yang dimilikinya. </w:t>
      </w:r>
      <w:r w:rsidR="00A57270">
        <w:rPr>
          <w:rFonts w:cs="Times New Roman"/>
          <w:bCs/>
          <w:lang w:val="en-ID"/>
        </w:rPr>
        <w:t>T</w:t>
      </w:r>
      <w:r w:rsidR="006B0292" w:rsidRPr="006B0292">
        <w:rPr>
          <w:rFonts w:cs="Times New Roman"/>
          <w:bCs/>
          <w:lang w:val="en-ID"/>
        </w:rPr>
        <w:t>eori agensi</w:t>
      </w:r>
      <w:r w:rsidR="00A57270">
        <w:rPr>
          <w:rFonts w:cs="Times New Roman"/>
          <w:bCs/>
          <w:lang w:val="en-ID"/>
        </w:rPr>
        <w:t xml:space="preserve"> mengenai</w:t>
      </w:r>
      <w:r w:rsidR="006B0292" w:rsidRPr="006B0292">
        <w:rPr>
          <w:rFonts w:cs="Times New Roman"/>
          <w:bCs/>
          <w:lang w:val="en-ID"/>
        </w:rPr>
        <w:t xml:space="preserve"> investor institusional berperan sebagai pihak yang mengawasi manajemen (monitoring) untuk memastikan sumber daya perusahaan digunakan sesuai kepentingan pemegang saham, termasuk dalam pelaksanaan CSR. Kinerja perusahaan yang baik seharusnya memperkuat kapasitas ini, karena perusahaan dengan nilai pasar yang tinggi memiliki sumber daya lebih memadai untuk menjalankan tanggung jawab sosial sekaligus memenuhi ekspektasi investor institusional selaku pengawas </w:t>
      </w:r>
      <w:r w:rsidR="006B0292" w:rsidRPr="006B0292">
        <w:rPr>
          <w:rFonts w:cs="Times New Roman"/>
          <w:bCs/>
          <w:lang w:val="en-ID"/>
        </w:rPr>
        <w:fldChar w:fldCharType="begin" w:fldLock="1"/>
      </w:r>
      <w:r w:rsidR="006B0292" w:rsidRPr="006B0292">
        <w:rPr>
          <w:rFonts w:cs="Times New Roman"/>
          <w:bCs/>
          <w:lang w:val="en-ID"/>
        </w:rP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e","type":"article-journal","volume":"3"},"uris":["http://www.mendeley.com/documents/?uuid=433bbc02-dfe4-402b-bf61-e5717d6900a1"]}],"mendeley":{"formattedCitation":"(Jensen &amp; Meckling, 1976)","plainTextFormattedCitation":"(Jensen &amp; Meckling, 1976)","previouslyFormattedCitation":"(Jensen &amp; Meckling, 1976)"},"properties":{"noteIndex":0},"schema":"https://github.com/citation-style-language/schema/raw/master/csl-citation.json"}</w:instrText>
      </w:r>
      <w:r w:rsidR="006B0292" w:rsidRPr="006B0292">
        <w:rPr>
          <w:rFonts w:cs="Times New Roman"/>
          <w:bCs/>
          <w:lang w:val="en-ID"/>
        </w:rPr>
        <w:fldChar w:fldCharType="separate"/>
      </w:r>
      <w:r w:rsidR="006B0292" w:rsidRPr="006B0292">
        <w:rPr>
          <w:rFonts w:cs="Times New Roman"/>
          <w:bCs/>
          <w:noProof/>
          <w:lang w:val="en-ID"/>
        </w:rPr>
        <w:t>(Jensen &amp; Meckling, 1976)</w:t>
      </w:r>
      <w:r w:rsidR="006B0292" w:rsidRPr="006B0292">
        <w:rPr>
          <w:rFonts w:cs="Times New Roman"/>
          <w:lang w:val="en-US"/>
        </w:rPr>
        <w:fldChar w:fldCharType="end"/>
      </w:r>
      <w:r w:rsidR="006B0292" w:rsidRPr="006B0292">
        <w:rPr>
          <w:rFonts w:cs="Times New Roman"/>
          <w:bCs/>
          <w:lang w:val="en-ID"/>
        </w:rPr>
        <w:t>.</w:t>
      </w:r>
    </w:p>
    <w:p w14:paraId="571D4947" w14:textId="5206962A" w:rsidR="006B0292" w:rsidRPr="006B0292" w:rsidRDefault="00E56B75" w:rsidP="00E56B75">
      <w:pPr>
        <w:pStyle w:val="BodyText"/>
        <w:spacing w:before="179"/>
        <w:rPr>
          <w:rFonts w:cs="Times New Roman"/>
          <w:bCs/>
          <w:lang w:val="en-ID"/>
        </w:rPr>
      </w:pPr>
      <w:r>
        <w:rPr>
          <w:rFonts w:cs="Times New Roman"/>
          <w:bCs/>
          <w:lang w:val="en-ID"/>
        </w:rPr>
        <w:tab/>
      </w:r>
      <w:r w:rsidR="006B0292" w:rsidRPr="006B0292">
        <w:rPr>
          <w:rFonts w:cs="Times New Roman"/>
          <w:bCs/>
          <w:lang w:val="en-ID"/>
        </w:rPr>
        <w:t xml:space="preserve">Namun, fungsi pengawasan investor institusional dalam teori agensi tidak selalu bergerak searah dengan kepentingan jangka panjang perusahaan. Sebagai prinsipal, investor institusional memiliki kepentingannya sendiri terhadap </w:t>
      </w:r>
      <w:r w:rsidR="006B0292" w:rsidRPr="006B0292">
        <w:rPr>
          <w:rFonts w:cs="Times New Roman"/>
          <w:bCs/>
          <w:i/>
          <w:iCs/>
          <w:lang w:val="en-ID"/>
        </w:rPr>
        <w:t>return</w:t>
      </w:r>
      <w:r w:rsidR="006B0292" w:rsidRPr="006B0292">
        <w:rPr>
          <w:rFonts w:cs="Times New Roman"/>
          <w:bCs/>
          <w:lang w:val="en-ID"/>
        </w:rPr>
        <w:t xml:space="preserve"> investasi, dan kepentingan ini dapat berbeda dari kepentingan pemegang saham secara umum maupun dari tujuan sosial perusahaan. Ketika investor institusional lebih mengutamakan pencapaian </w:t>
      </w:r>
      <w:r w:rsidR="006B0292" w:rsidRPr="006B0292">
        <w:rPr>
          <w:rFonts w:cs="Times New Roman"/>
          <w:bCs/>
          <w:i/>
          <w:iCs/>
          <w:lang w:val="en-ID"/>
        </w:rPr>
        <w:t>return</w:t>
      </w:r>
      <w:r w:rsidR="006B0292" w:rsidRPr="006B0292">
        <w:rPr>
          <w:rFonts w:cs="Times New Roman"/>
          <w:bCs/>
          <w:lang w:val="en-ID"/>
        </w:rPr>
        <w:t xml:space="preserve"> jangka pendek, tekanan yang mereka berikan kepada manajemen justru dapat mendorong alokasi sumber daya ke arah pemenuhan target laba segera, bukan ke pelaksanaan CSR meskipun kinerja perusahaan sedang baik </w:t>
      </w:r>
      <w:r w:rsidR="006B0292" w:rsidRPr="006B0292">
        <w:rPr>
          <w:rFonts w:cs="Times New Roman"/>
          <w:bCs/>
          <w:i/>
          <w:iCs/>
          <w:lang w:val="en-ID"/>
        </w:rPr>
        <w:fldChar w:fldCharType="begin" w:fldLock="1"/>
      </w:r>
      <w:r w:rsidR="006B0292" w:rsidRPr="006B0292">
        <w:rPr>
          <w:rFonts w:cs="Times New Roman"/>
          <w:bCs/>
          <w:i/>
          <w:iCs/>
          <w:lang w:val="en-ID"/>
        </w:rPr>
        <w:instrText>ADDIN CSL_CITATION {"citationItems":[{"id":"ITEM-1","itemData":{"author":[{"dropping-particle":"","family":"Waheed","given":"Abdul","non-dropping-particle":"","parse-names":false,"suffix":""},{"dropping-particle":"","family":"Hussain","given":"Shahzad","non-dropping-particle":"","parse-names":false,"suffix":""},{"dropping-particle":"","family":"Hanif","given":"Hasan","non-dropping-particle":"","parse-names":false,"suffix":""},{"dropping-particle":"","family":"Mahmood","given":"Hamid","non-dropping-particle":"","parse-names":false,"suffix":""},{"dropping-particle":"","family":"Malik","given":"Waisar Ali","non-dropping-particle":"","parse-names":false,"suffix":""}],"container-title":"Accounting, Corporate Governance &amp; Business Ethics Research Article","id":"ITEM-1","issued":{"date-parts":[["2021"]]},"title":"Corporate social responsibility and firmperformance: The moderation of investmenthorizon and corporate governance","type":"article-journal"},"uris":["http://www.mendeley.com/documents/?uuid=36c05571-afad-4ee9-87c1-40f31d2b1ee9"]}],"mendeley":{"formattedCitation":"(Waheed et al., 2021)","plainTextFormattedCitation":"(Waheed et al., 2021)","previouslyFormattedCitation":"(Waheed et al., 2021)"},"properties":{"noteIndex":0},"schema":"https://github.com/citation-style-language/schema/raw/master/csl-citation.json"}</w:instrText>
      </w:r>
      <w:r w:rsidR="006B0292" w:rsidRPr="006B0292">
        <w:rPr>
          <w:rFonts w:cs="Times New Roman"/>
          <w:bCs/>
          <w:i/>
          <w:iCs/>
          <w:lang w:val="en-ID"/>
        </w:rPr>
        <w:fldChar w:fldCharType="separate"/>
      </w:r>
      <w:r w:rsidR="006B0292" w:rsidRPr="006B0292">
        <w:rPr>
          <w:rFonts w:cs="Times New Roman"/>
          <w:bCs/>
          <w:iCs/>
          <w:noProof/>
          <w:lang w:val="en-ID"/>
        </w:rPr>
        <w:t>(Waheed et al., 2021)</w:t>
      </w:r>
      <w:r w:rsidR="006B0292" w:rsidRPr="006B0292">
        <w:rPr>
          <w:rFonts w:cs="Times New Roman"/>
          <w:lang w:val="en-US"/>
        </w:rPr>
        <w:fldChar w:fldCharType="end"/>
      </w:r>
      <w:r w:rsidR="006B0292" w:rsidRPr="006B0292">
        <w:rPr>
          <w:rFonts w:cs="Times New Roman"/>
          <w:bCs/>
          <w:i/>
          <w:iCs/>
          <w:lang w:val="en-ID"/>
        </w:rPr>
        <w:t xml:space="preserve">. </w:t>
      </w:r>
      <w:r w:rsidR="006B0292" w:rsidRPr="006B0292">
        <w:rPr>
          <w:rFonts w:cs="Times New Roman"/>
          <w:bCs/>
          <w:lang w:val="en-ID"/>
        </w:rPr>
        <w:t xml:space="preserve">Dengan kata lain, konflik kepentingan dalam teori agensi tidak hanya terjadi antara manajer dan pemegang saham, tetapi juga dapat muncul antara investor institusional sebagai pengawas </w:t>
      </w:r>
      <w:r w:rsidR="006B0292" w:rsidRPr="006B0292">
        <w:rPr>
          <w:rFonts w:cs="Times New Roman"/>
          <w:bCs/>
          <w:lang w:val="en-ID"/>
        </w:rPr>
        <w:lastRenderedPageBreak/>
        <w:t>dan tujuan sosial jangka panjang perusahaan, sehingga fungsi monitoring yang seharusnya memperkuat CSR justru dapat melemahkannya.</w:t>
      </w:r>
    </w:p>
    <w:p w14:paraId="19911A03" w14:textId="61BBA066" w:rsidR="006B0292" w:rsidRPr="006B0292" w:rsidRDefault="00E56B75" w:rsidP="00E56B75">
      <w:pPr>
        <w:pStyle w:val="BodyText"/>
        <w:spacing w:before="179"/>
        <w:rPr>
          <w:rFonts w:cs="Times New Roman"/>
          <w:bCs/>
          <w:lang w:val="en-ID"/>
        </w:rPr>
      </w:pPr>
      <w:r>
        <w:rPr>
          <w:rFonts w:cs="Times New Roman"/>
          <w:bCs/>
          <w:lang w:val="en-ID"/>
        </w:rPr>
        <w:tab/>
      </w:r>
      <w:r w:rsidR="006B0292" w:rsidRPr="006B0292">
        <w:rPr>
          <w:rFonts w:cs="Times New Roman"/>
          <w:bCs/>
          <w:lang w:val="en-ID"/>
        </w:rPr>
        <w:t xml:space="preserve">Kondisi ini semakin nyata terlihat pada perusahaan manufaktur di Indonesia, di mana pengungkapan CSR masih cenderung rendah dan bervariasi, bahkan pada masa ketidakpastian ekonomi perusahaan lebih memprioritaskan pemenuhan kepentingan investor dan kreditor jangka pendek dibandingkan pelaksanaan CSR </w:t>
      </w:r>
      <w:r w:rsidR="006B0292" w:rsidRPr="006B0292">
        <w:rPr>
          <w:rFonts w:cs="Times New Roman"/>
          <w:bCs/>
          <w:lang w:val="en-ID"/>
        </w:rPr>
        <w:fldChar w:fldCharType="begin" w:fldLock="1"/>
      </w:r>
      <w:r w:rsidR="006B0292" w:rsidRPr="006B0292">
        <w:rPr>
          <w:rFonts w:cs="Times New Roman"/>
          <w:bCs/>
          <w:lang w:val="en-ID"/>
        </w:rPr>
        <w:instrText>ADDIN CSL_CITATION {"citationItems":[{"id":"ITEM-1","itemData":{"abstract":"A B S T R A C T This study aims to examine the relationship between CEO power and tax avoidance in mining companies listed on the Indonesia Stock Exchange (IDX) from 2018–2022. The research population consists of mining sector companies listed on the IDX during 2018–2022, using purposive sampling as the sample selection method. 64 mining sector companies over five years were selected as the research sample. The data analysis technique employed in this study is panel data analysis. The analysis results show that CEO power has a negative effect on tax avoidance, indicating that the more influential the CEO, the less likely the company is to engage in tax avoidance practices. Firm size and inventory intensity do not affect tax avoidance, whereas profitability and leverage positively and negatively affects tax avoidance, respectively. This study contributes to the literature on the factors influencing tax avoidance. Keywords: CEO power, leverage, tax avoidance, profitability Penelitian ini bertujuan untuk menguji hubungan antara CEO power dan penghindaran pajak pada perusahaan pertambangan yang terdaftar di Bursa Efek Indonesia (BEI) periode 2018–2022. Populasi penelitian menggunakan perusahaan sektor pertambangan yang terdaftar di BEI periode 2018–2022, dengan menggunakan metode purposive sampling sebagai metode pemilihan sampel. 64 perusahaan sektor pertambangan selama lima tahun dipilih sebagai sampel penelitian ini. Teknik analisis data penelitian ini menggunakan analisis data panel. Hasil analisis menunjukkan bahwa CEO power memiliki pengaruh negatif terhadap penghindaran pajak. Hal ini berarti bahwa semakin berkuasa CEO maka semakin kecil kemungkinan melakukan praktik penghindaran pajak. Ukuran perusahaan dan inventory intensity tidak memiliki pengaruh terhadap penghindaran pajak. Sedangkan profitabilitas dan leverage masing-masing memiliki pengaruh positif dan negatif terhadap penghindaran pajak. Penelitian ini berkontribusi dalam referensi yang berkaitan dengan faktor yang memengaruhi penghindaran pajak. Kata","author":[{"dropping-particle":"","family":"Nawangsari","given":"Ajeng Tita","non-dropping-particle":"","parse-names":false,"suffix":""},{"dropping-particle":"","family":"Junjunan","given":"Mochammad Ilyas","non-dropping-particle":"","parse-names":false,"suffix":""},{"dropping-particle":"","family":"Buchori","given":"Imam","non-dropping-particle":"","parse-names":false,"suffix":""}],"container-title":"Jurnal Akuntansi dan Bisnis","id":"ITEM-1","issue":"2","issued":{"date-parts":[["2021"]]},"page":"288-299","title":"PENGUNGKAPAN CORPORATE SOCIAL RESPONSIBILITY SELAMA PANDEMI COVID-19 DI INDONESIA","type":"article-journal","volume":"24"},"uris":["http://www.mendeley.com/documents/?uuid=cd2b4bb2-b585-4bfd-8627-3a8c811d8284"]}],"mendeley":{"formattedCitation":"(Nawangsari et al., 2021)","plainTextFormattedCitation":"(Nawangsari et al., 2021)","previouslyFormattedCitation":"(Nawangsari et al., 2021)"},"properties":{"noteIndex":0},"schema":"https://github.com/citation-style-language/schema/raw/master/csl-citation.json"}</w:instrText>
      </w:r>
      <w:r w:rsidR="006B0292" w:rsidRPr="006B0292">
        <w:rPr>
          <w:rFonts w:cs="Times New Roman"/>
          <w:bCs/>
          <w:lang w:val="en-ID"/>
        </w:rPr>
        <w:fldChar w:fldCharType="separate"/>
      </w:r>
      <w:r w:rsidR="006B0292" w:rsidRPr="006B0292">
        <w:rPr>
          <w:rFonts w:cs="Times New Roman"/>
          <w:bCs/>
          <w:noProof/>
          <w:lang w:val="en-ID"/>
        </w:rPr>
        <w:t>(Nawangsari et al., 2021)</w:t>
      </w:r>
      <w:r w:rsidR="006B0292" w:rsidRPr="006B0292">
        <w:rPr>
          <w:rFonts w:cs="Times New Roman"/>
          <w:lang w:val="en-US"/>
        </w:rPr>
        <w:fldChar w:fldCharType="end"/>
      </w:r>
      <w:r w:rsidR="006B0292" w:rsidRPr="006B0292">
        <w:rPr>
          <w:rFonts w:cs="Times New Roman"/>
          <w:bCs/>
          <w:lang w:val="en-ID"/>
        </w:rPr>
        <w:t xml:space="preserve">. Hal ini menunjukkan bahwa kinerja perusahaan yang baik belum tentu memperkuat dorongan investor institusional terhadap pelaksanaan CSR, karena arah moderasinya bergantung pada apakah fungsi pengawasan investor institusional benar-benar berorientasi pada kepentingan jangka panjang, atau justru didominasi oleh kepentingan pribadi investor atas return jangka </w:t>
      </w:r>
      <w:proofErr w:type="gramStart"/>
      <w:r w:rsidR="006B0292" w:rsidRPr="006B0292">
        <w:rPr>
          <w:rFonts w:cs="Times New Roman"/>
          <w:bCs/>
          <w:lang w:val="en-ID"/>
        </w:rPr>
        <w:t>pendek..</w:t>
      </w:r>
      <w:proofErr w:type="gramEnd"/>
    </w:p>
    <w:p w14:paraId="6E9FAA2C" w14:textId="76054C68" w:rsidR="006B0292" w:rsidRPr="006B0292" w:rsidRDefault="00E56B75" w:rsidP="00E56B75">
      <w:pPr>
        <w:pStyle w:val="BodyText"/>
        <w:spacing w:before="179"/>
        <w:rPr>
          <w:rFonts w:cs="Times New Roman"/>
          <w:bCs/>
          <w:lang w:val="en-ID"/>
        </w:rPr>
      </w:pPr>
      <w:r>
        <w:rPr>
          <w:rFonts w:cs="Times New Roman"/>
          <w:bCs/>
          <w:lang w:val="en-ID"/>
        </w:rPr>
        <w:tab/>
      </w:r>
      <w:r w:rsidR="006B0292" w:rsidRPr="006B0292">
        <w:rPr>
          <w:rFonts w:cs="Times New Roman"/>
          <w:bCs/>
          <w:lang w:val="en-ID"/>
        </w:rPr>
        <w:t xml:space="preserve">Dakhli </w:t>
      </w:r>
      <w:r w:rsidR="006B0292" w:rsidRPr="006B0292">
        <w:rPr>
          <w:rFonts w:cs="Times New Roman"/>
          <w:bCs/>
          <w:lang w:val="en-ID"/>
        </w:rPr>
        <w:fldChar w:fldCharType="begin" w:fldLock="1"/>
      </w:r>
      <w:r w:rsidR="006B0292" w:rsidRPr="006B0292">
        <w:rPr>
          <w:rFonts w:cs="Times New Roman"/>
          <w:bCs/>
          <w:lang w:val="en-ID"/>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rsidR="006B0292" w:rsidRPr="006B0292">
        <w:rPr>
          <w:rFonts w:cs="Times New Roman"/>
          <w:bCs/>
          <w:lang w:val="en-ID"/>
        </w:rPr>
        <w:fldChar w:fldCharType="separate"/>
      </w:r>
      <w:r w:rsidR="006B0292" w:rsidRPr="006B0292">
        <w:rPr>
          <w:rFonts w:cs="Times New Roman"/>
          <w:bCs/>
          <w:noProof/>
          <w:lang w:val="en-ID"/>
        </w:rPr>
        <w:t>(2021)</w:t>
      </w:r>
      <w:r w:rsidR="006B0292" w:rsidRPr="006B0292">
        <w:rPr>
          <w:rFonts w:cs="Times New Roman"/>
          <w:lang w:val="en-US"/>
        </w:rPr>
        <w:fldChar w:fldCharType="end"/>
      </w:r>
      <w:r w:rsidR="006B0292" w:rsidRPr="006B0292">
        <w:rPr>
          <w:rFonts w:cs="Times New Roman"/>
          <w:bCs/>
          <w:lang w:val="en-ID"/>
        </w:rPr>
        <w:t xml:space="preserve"> menemukan bahwa kinerja perusahaan memoderasi hubungan antara kepemilikan institusional dan CSR, namun moderasi yang diukur dengan Tobin's Q tidak terbukti signifikan. Ketidaksignifikanan ini sejalan dengan penjelasan di atas, bahwa efektivitas fungsi pengawasan investor institusional dapat bervariasi tergantung orientasi kepentingannya, sehingga peran moderasi ini masih relevan untuk dikaji lebih lanjut khususnya pada perusahaan manufaktur di Indonesia yang memiliki karakteristik pasar berbeda dengan konteks penelitian sebelumnya. Berdasarkan uraian tersebut, maka hipotesis yang diajukan adalah:</w:t>
      </w:r>
    </w:p>
    <w:p w14:paraId="7E5045F4" w14:textId="448DA808" w:rsidR="006B0292" w:rsidRDefault="006B0292" w:rsidP="00E56B75">
      <w:pPr>
        <w:pStyle w:val="BodyText"/>
        <w:keepNext/>
        <w:keepLines/>
        <w:widowControl/>
        <w:spacing w:before="179"/>
        <w:ind w:left="68" w:right="57"/>
        <w:rPr>
          <w:rFonts w:cs="Times New Roman"/>
          <w:b/>
          <w:bCs/>
          <w:lang w:val="id-ID"/>
        </w:rPr>
      </w:pPr>
      <w:r w:rsidRPr="006B0292">
        <w:rPr>
          <w:rFonts w:cs="Times New Roman"/>
          <w:b/>
          <w:bCs/>
          <w:lang w:val="id-ID"/>
        </w:rPr>
        <w:lastRenderedPageBreak/>
        <w:t xml:space="preserve">H4: </w:t>
      </w:r>
      <w:r w:rsidRPr="006B0292">
        <w:rPr>
          <w:rFonts w:cs="Times New Roman"/>
          <w:b/>
          <w:bCs/>
          <w:lang w:val="en-US"/>
        </w:rPr>
        <w:t>Kinerja Keuangan memoderasi</w:t>
      </w:r>
      <w:r w:rsidRPr="006B0292">
        <w:rPr>
          <w:rFonts w:cs="Times New Roman"/>
          <w:b/>
          <w:bCs/>
          <w:lang w:val="id-ID"/>
        </w:rPr>
        <w:t xml:space="preserve"> pengaruh</w:t>
      </w:r>
      <w:r w:rsidRPr="006B0292">
        <w:rPr>
          <w:rFonts w:cs="Times New Roman"/>
          <w:b/>
          <w:bCs/>
          <w:lang w:val="en-US"/>
        </w:rPr>
        <w:t xml:space="preserve"> Kepemilikan Institusional </w:t>
      </w:r>
      <w:r w:rsidRPr="006B0292">
        <w:rPr>
          <w:rFonts w:cs="Times New Roman"/>
          <w:b/>
          <w:bCs/>
          <w:lang w:val="id-ID"/>
        </w:rPr>
        <w:t>terhadap Corporate Social Responsibility.</w:t>
      </w:r>
    </w:p>
    <w:p w14:paraId="06A3B216" w14:textId="6E5707DF" w:rsidR="006B0292" w:rsidRDefault="006B0292" w:rsidP="006B0292">
      <w:pPr>
        <w:rPr>
          <w:rFonts w:cs="Times New Roman"/>
          <w:b/>
          <w:bCs/>
          <w:lang w:val="id-ID"/>
        </w:rPr>
      </w:pPr>
    </w:p>
    <w:p w14:paraId="2EBEF202" w14:textId="7B88C6E0" w:rsidR="006B0292" w:rsidRPr="006B0292" w:rsidRDefault="006B0292" w:rsidP="006B0292">
      <w:pPr>
        <w:rPr>
          <w:rFonts w:cs="Times New Roman"/>
          <w:b/>
          <w:bCs/>
          <w:sz w:val="22"/>
          <w:lang w:val="id-ID"/>
        </w:rPr>
      </w:pPr>
      <w:r>
        <w:rPr>
          <w:rFonts w:cs="Times New Roman"/>
          <w:b/>
          <w:bCs/>
          <w:lang w:val="id-ID"/>
        </w:rPr>
        <w:br w:type="page"/>
      </w:r>
    </w:p>
    <w:p w14:paraId="598EA76F" w14:textId="77777777" w:rsidR="009C5C44" w:rsidRDefault="009C5C44" w:rsidP="00E56B75">
      <w:pPr>
        <w:pStyle w:val="Heading1"/>
        <w:jc w:val="center"/>
        <w:sectPr w:rsidR="009C5C44" w:rsidSect="003759E4">
          <w:headerReference w:type="default" r:id="rId8"/>
          <w:footerReference w:type="default" r:id="rId9"/>
          <w:pgSz w:w="11920" w:h="16860"/>
          <w:pgMar w:top="2268" w:right="1701" w:bottom="1701" w:left="2268" w:header="720" w:footer="720" w:gutter="0"/>
          <w:cols w:space="720"/>
          <w:docGrid w:linePitch="299"/>
        </w:sectPr>
      </w:pPr>
    </w:p>
    <w:p w14:paraId="05AF31DE" w14:textId="77777777" w:rsidR="00C014B5" w:rsidRPr="00C525D8" w:rsidRDefault="00C014B5" w:rsidP="00573904">
      <w:pPr>
        <w:pStyle w:val="Heading1"/>
        <w:jc w:val="center"/>
        <w:rPr>
          <w:b w:val="0"/>
          <w:bCs w:val="0"/>
          <w:lang w:val="en-US"/>
        </w:rPr>
      </w:pPr>
    </w:p>
    <w:sectPr w:rsidR="00C014B5" w:rsidRPr="00C525D8" w:rsidSect="00742928">
      <w:headerReference w:type="default" r:id="rId10"/>
      <w:footerReference w:type="default" r:id="rId11"/>
      <w:pgSz w:w="11920" w:h="16860"/>
      <w:pgMar w:top="2268" w:right="1701"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BB8DA" w14:textId="77777777" w:rsidR="00C53BF8" w:rsidRDefault="00C53BF8" w:rsidP="00C83A9F">
      <w:r>
        <w:separator/>
      </w:r>
    </w:p>
  </w:endnote>
  <w:endnote w:type="continuationSeparator" w:id="0">
    <w:p w14:paraId="3256586A" w14:textId="77777777" w:rsidR="00C53BF8" w:rsidRDefault="00C53BF8" w:rsidP="00C8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F2EC" w14:textId="50A9DF28" w:rsidR="00383280" w:rsidRDefault="00383280">
    <w:pPr>
      <w:pStyle w:val="Footer"/>
      <w:jc w:val="center"/>
    </w:pPr>
  </w:p>
  <w:p w14:paraId="13ED2EC4" w14:textId="77777777" w:rsidR="00383280" w:rsidRDefault="00383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2DDB" w14:textId="77777777" w:rsidR="00383280" w:rsidRPr="00573904" w:rsidRDefault="00383280" w:rsidP="00573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58795" w14:textId="77777777" w:rsidR="00C53BF8" w:rsidRDefault="00C53BF8" w:rsidP="00C83A9F">
      <w:r>
        <w:separator/>
      </w:r>
    </w:p>
  </w:footnote>
  <w:footnote w:type="continuationSeparator" w:id="0">
    <w:p w14:paraId="5BBF1381" w14:textId="77777777" w:rsidR="00C53BF8" w:rsidRDefault="00C53BF8" w:rsidP="00C8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954321"/>
      <w:docPartObj>
        <w:docPartGallery w:val="Page Numbers (Top of Page)"/>
        <w:docPartUnique/>
      </w:docPartObj>
    </w:sdtPr>
    <w:sdtEndPr>
      <w:rPr>
        <w:noProof/>
      </w:rPr>
    </w:sdtEndPr>
    <w:sdtContent>
      <w:p w14:paraId="36849520" w14:textId="6AAF4E6F" w:rsidR="00383280" w:rsidRDefault="0038328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379E64B" w14:textId="77777777" w:rsidR="00383280" w:rsidRDefault="00383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AF90" w14:textId="3FD76286" w:rsidR="00383280" w:rsidRPr="00573904" w:rsidRDefault="00383280" w:rsidP="00573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0A23"/>
    <w:multiLevelType w:val="hybridMultilevel"/>
    <w:tmpl w:val="416E6F82"/>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2564F7A"/>
    <w:multiLevelType w:val="hybridMultilevel"/>
    <w:tmpl w:val="1CEE60D6"/>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2940EBA"/>
    <w:multiLevelType w:val="hybridMultilevel"/>
    <w:tmpl w:val="24761760"/>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4794252"/>
    <w:multiLevelType w:val="hybridMultilevel"/>
    <w:tmpl w:val="F5DA679E"/>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4F66E10"/>
    <w:multiLevelType w:val="hybridMultilevel"/>
    <w:tmpl w:val="FBF0C9DA"/>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C6D6669"/>
    <w:multiLevelType w:val="hybridMultilevel"/>
    <w:tmpl w:val="6A8843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EA0275"/>
    <w:multiLevelType w:val="hybridMultilevel"/>
    <w:tmpl w:val="C2EC884A"/>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11342A92"/>
    <w:multiLevelType w:val="hybridMultilevel"/>
    <w:tmpl w:val="E752FB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70004AF"/>
    <w:multiLevelType w:val="hybridMultilevel"/>
    <w:tmpl w:val="EE9A164E"/>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AA84908"/>
    <w:multiLevelType w:val="hybridMultilevel"/>
    <w:tmpl w:val="99D058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AA722B"/>
    <w:multiLevelType w:val="hybridMultilevel"/>
    <w:tmpl w:val="6ADCFE7C"/>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23B34A13"/>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671771E"/>
    <w:multiLevelType w:val="hybridMultilevel"/>
    <w:tmpl w:val="71F654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EB43CC"/>
    <w:multiLevelType w:val="hybridMultilevel"/>
    <w:tmpl w:val="6A0CCE60"/>
    <w:lvl w:ilvl="0" w:tplc="BA20FD84">
      <w:numFmt w:val="bullet"/>
      <w:lvlText w:val="-"/>
      <w:lvlJc w:val="left"/>
      <w:pPr>
        <w:ind w:left="480" w:hanging="360"/>
      </w:pPr>
      <w:rPr>
        <w:rFonts w:ascii="Times New Roman" w:eastAsia="Liberation Serif" w:hAnsi="Times New Roman" w:cs="Times New Roman" w:hint="default"/>
      </w:rPr>
    </w:lvl>
    <w:lvl w:ilvl="1" w:tplc="38090003">
      <w:start w:val="1"/>
      <w:numFmt w:val="bullet"/>
      <w:lvlText w:val="o"/>
      <w:lvlJc w:val="left"/>
      <w:pPr>
        <w:ind w:left="1200" w:hanging="360"/>
      </w:pPr>
      <w:rPr>
        <w:rFonts w:ascii="Courier New" w:hAnsi="Courier New" w:cs="Courier New" w:hint="default"/>
      </w:rPr>
    </w:lvl>
    <w:lvl w:ilvl="2" w:tplc="38090005">
      <w:start w:val="1"/>
      <w:numFmt w:val="bullet"/>
      <w:lvlText w:val=""/>
      <w:lvlJc w:val="left"/>
      <w:pPr>
        <w:ind w:left="1920" w:hanging="360"/>
      </w:pPr>
      <w:rPr>
        <w:rFonts w:ascii="Wingdings" w:hAnsi="Wingdings" w:hint="default"/>
      </w:rPr>
    </w:lvl>
    <w:lvl w:ilvl="3" w:tplc="38090001">
      <w:start w:val="1"/>
      <w:numFmt w:val="bullet"/>
      <w:lvlText w:val=""/>
      <w:lvlJc w:val="left"/>
      <w:pPr>
        <w:ind w:left="2640" w:hanging="360"/>
      </w:pPr>
      <w:rPr>
        <w:rFonts w:ascii="Symbol" w:hAnsi="Symbol" w:hint="default"/>
      </w:rPr>
    </w:lvl>
    <w:lvl w:ilvl="4" w:tplc="38090003">
      <w:start w:val="1"/>
      <w:numFmt w:val="bullet"/>
      <w:lvlText w:val="o"/>
      <w:lvlJc w:val="left"/>
      <w:pPr>
        <w:ind w:left="3360" w:hanging="360"/>
      </w:pPr>
      <w:rPr>
        <w:rFonts w:ascii="Courier New" w:hAnsi="Courier New" w:cs="Courier New" w:hint="default"/>
      </w:rPr>
    </w:lvl>
    <w:lvl w:ilvl="5" w:tplc="38090005">
      <w:start w:val="1"/>
      <w:numFmt w:val="bullet"/>
      <w:lvlText w:val=""/>
      <w:lvlJc w:val="left"/>
      <w:pPr>
        <w:ind w:left="4080" w:hanging="360"/>
      </w:pPr>
      <w:rPr>
        <w:rFonts w:ascii="Wingdings" w:hAnsi="Wingdings" w:hint="default"/>
      </w:rPr>
    </w:lvl>
    <w:lvl w:ilvl="6" w:tplc="38090001">
      <w:start w:val="1"/>
      <w:numFmt w:val="bullet"/>
      <w:lvlText w:val=""/>
      <w:lvlJc w:val="left"/>
      <w:pPr>
        <w:ind w:left="4800" w:hanging="360"/>
      </w:pPr>
      <w:rPr>
        <w:rFonts w:ascii="Symbol" w:hAnsi="Symbol" w:hint="default"/>
      </w:rPr>
    </w:lvl>
    <w:lvl w:ilvl="7" w:tplc="38090003">
      <w:start w:val="1"/>
      <w:numFmt w:val="bullet"/>
      <w:lvlText w:val="o"/>
      <w:lvlJc w:val="left"/>
      <w:pPr>
        <w:ind w:left="5520" w:hanging="360"/>
      </w:pPr>
      <w:rPr>
        <w:rFonts w:ascii="Courier New" w:hAnsi="Courier New" w:cs="Courier New" w:hint="default"/>
      </w:rPr>
    </w:lvl>
    <w:lvl w:ilvl="8" w:tplc="38090005">
      <w:start w:val="1"/>
      <w:numFmt w:val="bullet"/>
      <w:lvlText w:val=""/>
      <w:lvlJc w:val="left"/>
      <w:pPr>
        <w:ind w:left="6240" w:hanging="360"/>
      </w:pPr>
      <w:rPr>
        <w:rFonts w:ascii="Wingdings" w:hAnsi="Wingdings" w:hint="default"/>
      </w:rPr>
    </w:lvl>
  </w:abstractNum>
  <w:abstractNum w:abstractNumId="14" w15:restartNumberingAfterBreak="0">
    <w:nsid w:val="307F44CA"/>
    <w:multiLevelType w:val="hybridMultilevel"/>
    <w:tmpl w:val="22E2A7AC"/>
    <w:lvl w:ilvl="0" w:tplc="C6EA8DB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15:restartNumberingAfterBreak="0">
    <w:nsid w:val="3ABD131C"/>
    <w:multiLevelType w:val="hybridMultilevel"/>
    <w:tmpl w:val="1BBA1E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2962BA6"/>
    <w:multiLevelType w:val="hybridMultilevel"/>
    <w:tmpl w:val="6A8843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34B437F"/>
    <w:multiLevelType w:val="hybridMultilevel"/>
    <w:tmpl w:val="0ADACC0E"/>
    <w:lvl w:ilvl="0" w:tplc="6E0C1E8A">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8" w15:restartNumberingAfterBreak="0">
    <w:nsid w:val="59851842"/>
    <w:multiLevelType w:val="hybridMultilevel"/>
    <w:tmpl w:val="36C8023E"/>
    <w:lvl w:ilvl="0" w:tplc="00AC14B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 w15:restartNumberingAfterBreak="0">
    <w:nsid w:val="5BBA32EF"/>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E3B4750"/>
    <w:multiLevelType w:val="hybridMultilevel"/>
    <w:tmpl w:val="F918C90A"/>
    <w:lvl w:ilvl="0" w:tplc="9420FB56">
      <w:start w:val="4"/>
      <w:numFmt w:val="decimal"/>
      <w:lvlText w:val="%1."/>
      <w:lvlJc w:val="left"/>
      <w:pPr>
        <w:ind w:left="177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1500806"/>
    <w:multiLevelType w:val="multilevel"/>
    <w:tmpl w:val="CB52C1B8"/>
    <w:lvl w:ilvl="0">
      <w:start w:val="1"/>
      <w:numFmt w:val="decimal"/>
      <w:lvlText w:val="%1"/>
      <w:lvlJc w:val="left"/>
      <w:pPr>
        <w:ind w:left="427" w:hanging="360"/>
      </w:pPr>
      <w:rPr>
        <w:rFonts w:hint="default"/>
        <w:lang w:val="id" w:eastAsia="en-US" w:bidi="ar-SA"/>
      </w:rPr>
    </w:lvl>
    <w:lvl w:ilvl="1">
      <w:start w:val="1"/>
      <w:numFmt w:val="decimal"/>
      <w:lvlText w:val="%1.%2"/>
      <w:lvlJc w:val="left"/>
      <w:pPr>
        <w:ind w:left="2345" w:hanging="360"/>
      </w:pPr>
      <w:rPr>
        <w:rFonts w:ascii="Liberation Serif" w:eastAsia="Liberation Serif" w:hAnsi="Liberation Serif" w:cs="Liberation Serif" w:hint="default"/>
        <w:b/>
        <w:bCs/>
        <w:i w:val="0"/>
        <w:iCs w:val="0"/>
        <w:spacing w:val="0"/>
        <w:w w:val="100"/>
        <w:sz w:val="24"/>
        <w:szCs w:val="24"/>
        <w:lang w:val="id" w:eastAsia="en-US" w:bidi="ar-SA"/>
      </w:rPr>
    </w:lvl>
    <w:lvl w:ilvl="2">
      <w:start w:val="1"/>
      <w:numFmt w:val="decimal"/>
      <w:lvlText w:val="%1.%2.%3"/>
      <w:lvlJc w:val="left"/>
      <w:pPr>
        <w:ind w:left="602" w:hanging="536"/>
      </w:pPr>
      <w:rPr>
        <w:rFonts w:ascii="Liberation Serif" w:eastAsia="Liberation Serif" w:hAnsi="Liberation Serif" w:cs="Liberation Serif" w:hint="default"/>
        <w:b/>
        <w:bCs/>
        <w:i w:val="0"/>
        <w:iCs w:val="0"/>
        <w:spacing w:val="0"/>
        <w:w w:val="100"/>
        <w:sz w:val="24"/>
        <w:szCs w:val="24"/>
        <w:lang w:val="id" w:eastAsia="en-US" w:bidi="ar-SA"/>
      </w:rPr>
    </w:lvl>
    <w:lvl w:ilvl="3">
      <w:start w:val="1"/>
      <w:numFmt w:val="decimal"/>
      <w:lvlText w:val="%1.%2.%3.%4"/>
      <w:lvlJc w:val="left"/>
      <w:pPr>
        <w:ind w:left="787" w:hanging="720"/>
      </w:pPr>
      <w:rPr>
        <w:rFonts w:ascii="Liberation Serif" w:eastAsia="Liberation Serif" w:hAnsi="Liberation Serif" w:cs="Liberation Serif" w:hint="default"/>
        <w:b/>
        <w:bCs/>
        <w:i w:val="0"/>
        <w:iCs w:val="0"/>
        <w:spacing w:val="0"/>
        <w:w w:val="100"/>
        <w:sz w:val="24"/>
        <w:szCs w:val="24"/>
        <w:lang w:val="id" w:eastAsia="en-US" w:bidi="ar-SA"/>
      </w:rPr>
    </w:lvl>
    <w:lvl w:ilvl="4">
      <w:start w:val="1"/>
      <w:numFmt w:val="decimal"/>
      <w:lvlText w:val="%5."/>
      <w:lvlJc w:val="left"/>
      <w:pPr>
        <w:ind w:left="1200" w:hanging="240"/>
      </w:pPr>
      <w:rPr>
        <w:rFonts w:ascii="Times New Roman" w:eastAsia="Liberation Serif" w:hAnsi="Times New Roman" w:cs="Times New Roman" w:hint="default"/>
        <w:b/>
        <w:bCs/>
        <w:i w:val="0"/>
        <w:iCs w:val="0"/>
        <w:spacing w:val="0"/>
        <w:w w:val="100"/>
        <w:sz w:val="24"/>
        <w:szCs w:val="24"/>
        <w:lang w:val="id" w:eastAsia="en-US" w:bidi="ar-SA"/>
      </w:rPr>
    </w:lvl>
    <w:lvl w:ilvl="5">
      <w:numFmt w:val="bullet"/>
      <w:lvlText w:val="•"/>
      <w:lvlJc w:val="left"/>
      <w:pPr>
        <w:ind w:left="3614" w:hanging="240"/>
      </w:pPr>
      <w:rPr>
        <w:rFonts w:hint="default"/>
        <w:lang w:val="id" w:eastAsia="en-US" w:bidi="ar-SA"/>
      </w:rPr>
    </w:lvl>
    <w:lvl w:ilvl="6">
      <w:numFmt w:val="bullet"/>
      <w:lvlText w:val="•"/>
      <w:lvlJc w:val="left"/>
      <w:pPr>
        <w:ind w:left="4822" w:hanging="240"/>
      </w:pPr>
      <w:rPr>
        <w:rFonts w:hint="default"/>
        <w:lang w:val="id" w:eastAsia="en-US" w:bidi="ar-SA"/>
      </w:rPr>
    </w:lvl>
    <w:lvl w:ilvl="7">
      <w:numFmt w:val="bullet"/>
      <w:lvlText w:val="•"/>
      <w:lvlJc w:val="left"/>
      <w:pPr>
        <w:ind w:left="6029" w:hanging="240"/>
      </w:pPr>
      <w:rPr>
        <w:rFonts w:hint="default"/>
        <w:lang w:val="id" w:eastAsia="en-US" w:bidi="ar-SA"/>
      </w:rPr>
    </w:lvl>
    <w:lvl w:ilvl="8">
      <w:numFmt w:val="bullet"/>
      <w:lvlText w:val="•"/>
      <w:lvlJc w:val="left"/>
      <w:pPr>
        <w:ind w:left="7237" w:hanging="240"/>
      </w:pPr>
      <w:rPr>
        <w:rFonts w:hint="default"/>
        <w:lang w:val="id" w:eastAsia="en-US" w:bidi="ar-SA"/>
      </w:rPr>
    </w:lvl>
  </w:abstractNum>
  <w:abstractNum w:abstractNumId="22" w15:restartNumberingAfterBreak="0">
    <w:nsid w:val="64137311"/>
    <w:multiLevelType w:val="hybridMultilevel"/>
    <w:tmpl w:val="7CD43DA6"/>
    <w:lvl w:ilvl="0" w:tplc="9E9AE1D6">
      <w:start w:val="1"/>
      <w:numFmt w:val="lowerLetter"/>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656179F8"/>
    <w:multiLevelType w:val="hybridMultilevel"/>
    <w:tmpl w:val="1BBA1E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8316222"/>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BE27A3D"/>
    <w:multiLevelType w:val="hybridMultilevel"/>
    <w:tmpl w:val="17ACA98A"/>
    <w:lvl w:ilvl="0" w:tplc="1A74572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6" w15:restartNumberingAfterBreak="0">
    <w:nsid w:val="6EB733C3"/>
    <w:multiLevelType w:val="hybridMultilevel"/>
    <w:tmpl w:val="05C6B874"/>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40E7D01"/>
    <w:multiLevelType w:val="hybridMultilevel"/>
    <w:tmpl w:val="24761760"/>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4CF7490"/>
    <w:multiLevelType w:val="hybridMultilevel"/>
    <w:tmpl w:val="B54CD48E"/>
    <w:lvl w:ilvl="0" w:tplc="D8F84D74">
      <w:numFmt w:val="bullet"/>
      <w:lvlText w:val="-"/>
      <w:lvlJc w:val="left"/>
      <w:pPr>
        <w:ind w:left="480" w:hanging="360"/>
      </w:pPr>
      <w:rPr>
        <w:rFonts w:ascii="Times New Roman" w:eastAsia="Liberation Serif" w:hAnsi="Times New Roman" w:cs="Times New Roman" w:hint="default"/>
      </w:rPr>
    </w:lvl>
    <w:lvl w:ilvl="1" w:tplc="38090003">
      <w:start w:val="1"/>
      <w:numFmt w:val="bullet"/>
      <w:lvlText w:val="o"/>
      <w:lvlJc w:val="left"/>
      <w:pPr>
        <w:ind w:left="1200" w:hanging="360"/>
      </w:pPr>
      <w:rPr>
        <w:rFonts w:ascii="Courier New" w:hAnsi="Courier New" w:cs="Courier New" w:hint="default"/>
      </w:rPr>
    </w:lvl>
    <w:lvl w:ilvl="2" w:tplc="38090005">
      <w:start w:val="1"/>
      <w:numFmt w:val="bullet"/>
      <w:lvlText w:val=""/>
      <w:lvlJc w:val="left"/>
      <w:pPr>
        <w:ind w:left="1920" w:hanging="360"/>
      </w:pPr>
      <w:rPr>
        <w:rFonts w:ascii="Wingdings" w:hAnsi="Wingdings" w:hint="default"/>
      </w:rPr>
    </w:lvl>
    <w:lvl w:ilvl="3" w:tplc="38090001">
      <w:start w:val="1"/>
      <w:numFmt w:val="bullet"/>
      <w:lvlText w:val=""/>
      <w:lvlJc w:val="left"/>
      <w:pPr>
        <w:ind w:left="2640" w:hanging="360"/>
      </w:pPr>
      <w:rPr>
        <w:rFonts w:ascii="Symbol" w:hAnsi="Symbol" w:hint="default"/>
      </w:rPr>
    </w:lvl>
    <w:lvl w:ilvl="4" w:tplc="38090003">
      <w:start w:val="1"/>
      <w:numFmt w:val="bullet"/>
      <w:lvlText w:val="o"/>
      <w:lvlJc w:val="left"/>
      <w:pPr>
        <w:ind w:left="3360" w:hanging="360"/>
      </w:pPr>
      <w:rPr>
        <w:rFonts w:ascii="Courier New" w:hAnsi="Courier New" w:cs="Courier New" w:hint="default"/>
      </w:rPr>
    </w:lvl>
    <w:lvl w:ilvl="5" w:tplc="38090005">
      <w:start w:val="1"/>
      <w:numFmt w:val="bullet"/>
      <w:lvlText w:val=""/>
      <w:lvlJc w:val="left"/>
      <w:pPr>
        <w:ind w:left="4080" w:hanging="360"/>
      </w:pPr>
      <w:rPr>
        <w:rFonts w:ascii="Wingdings" w:hAnsi="Wingdings" w:hint="default"/>
      </w:rPr>
    </w:lvl>
    <w:lvl w:ilvl="6" w:tplc="38090001">
      <w:start w:val="1"/>
      <w:numFmt w:val="bullet"/>
      <w:lvlText w:val=""/>
      <w:lvlJc w:val="left"/>
      <w:pPr>
        <w:ind w:left="4800" w:hanging="360"/>
      </w:pPr>
      <w:rPr>
        <w:rFonts w:ascii="Symbol" w:hAnsi="Symbol" w:hint="default"/>
      </w:rPr>
    </w:lvl>
    <w:lvl w:ilvl="7" w:tplc="38090003">
      <w:start w:val="1"/>
      <w:numFmt w:val="bullet"/>
      <w:lvlText w:val="o"/>
      <w:lvlJc w:val="left"/>
      <w:pPr>
        <w:ind w:left="5520" w:hanging="360"/>
      </w:pPr>
      <w:rPr>
        <w:rFonts w:ascii="Courier New" w:hAnsi="Courier New" w:cs="Courier New" w:hint="default"/>
      </w:rPr>
    </w:lvl>
    <w:lvl w:ilvl="8" w:tplc="38090005">
      <w:start w:val="1"/>
      <w:numFmt w:val="bullet"/>
      <w:lvlText w:val=""/>
      <w:lvlJc w:val="left"/>
      <w:pPr>
        <w:ind w:left="6240" w:hanging="360"/>
      </w:pPr>
      <w:rPr>
        <w:rFonts w:ascii="Wingdings" w:hAnsi="Wingdings" w:hint="default"/>
      </w:rPr>
    </w:lvl>
  </w:abstractNum>
  <w:abstractNum w:abstractNumId="29" w15:restartNumberingAfterBreak="0">
    <w:nsid w:val="75C5576C"/>
    <w:multiLevelType w:val="hybridMultilevel"/>
    <w:tmpl w:val="E752FB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CA507A3"/>
    <w:multiLevelType w:val="multilevel"/>
    <w:tmpl w:val="8526A07E"/>
    <w:lvl w:ilvl="0">
      <w:start w:val="2"/>
      <w:numFmt w:val="decimal"/>
      <w:lvlText w:val="%1"/>
      <w:lvlJc w:val="left"/>
      <w:pPr>
        <w:ind w:left="937" w:hanging="360"/>
      </w:pPr>
      <w:rPr>
        <w:rFonts w:hint="default"/>
        <w:lang w:val="id" w:eastAsia="en-US" w:bidi="ar-SA"/>
      </w:rPr>
    </w:lvl>
    <w:lvl w:ilvl="1">
      <w:start w:val="1"/>
      <w:numFmt w:val="decimal"/>
      <w:lvlText w:val="%1.%2"/>
      <w:lvlJc w:val="left"/>
      <w:pPr>
        <w:ind w:left="937" w:hanging="360"/>
      </w:pPr>
      <w:rPr>
        <w:rFonts w:ascii="Times New Roman" w:eastAsia="Liberation Serif" w:hAnsi="Times New Roman" w:cs="Times New Roman" w:hint="default"/>
        <w:b/>
        <w:bCs/>
        <w:i w:val="0"/>
        <w:iCs w:val="0"/>
        <w:spacing w:val="0"/>
        <w:w w:val="100"/>
        <w:sz w:val="24"/>
        <w:szCs w:val="24"/>
        <w:lang w:val="id" w:eastAsia="en-US" w:bidi="ar-SA"/>
      </w:rPr>
    </w:lvl>
    <w:lvl w:ilvl="2">
      <w:start w:val="1"/>
      <w:numFmt w:val="decimal"/>
      <w:lvlText w:val="%1.%2.%3"/>
      <w:lvlJc w:val="left"/>
      <w:pPr>
        <w:ind w:left="1113" w:hanging="536"/>
      </w:pPr>
      <w:rPr>
        <w:rFonts w:ascii="Liberation Serif" w:eastAsia="Liberation Serif" w:hAnsi="Liberation Serif" w:cs="Liberation Serif" w:hint="default"/>
        <w:b/>
        <w:bCs/>
        <w:i w:val="0"/>
        <w:iCs w:val="0"/>
        <w:spacing w:val="0"/>
        <w:w w:val="100"/>
        <w:sz w:val="24"/>
        <w:szCs w:val="24"/>
        <w:lang w:val="id" w:eastAsia="en-US" w:bidi="ar-SA"/>
      </w:rPr>
    </w:lvl>
    <w:lvl w:ilvl="3">
      <w:numFmt w:val="bullet"/>
      <w:lvlText w:val="•"/>
      <w:lvlJc w:val="left"/>
      <w:pPr>
        <w:ind w:left="2795" w:hanging="536"/>
      </w:pPr>
      <w:rPr>
        <w:rFonts w:hint="default"/>
        <w:lang w:val="id" w:eastAsia="en-US" w:bidi="ar-SA"/>
      </w:rPr>
    </w:lvl>
    <w:lvl w:ilvl="4">
      <w:numFmt w:val="bullet"/>
      <w:lvlText w:val="•"/>
      <w:lvlJc w:val="left"/>
      <w:pPr>
        <w:ind w:left="3633" w:hanging="536"/>
      </w:pPr>
      <w:rPr>
        <w:rFonts w:hint="default"/>
        <w:lang w:val="id" w:eastAsia="en-US" w:bidi="ar-SA"/>
      </w:rPr>
    </w:lvl>
    <w:lvl w:ilvl="5">
      <w:numFmt w:val="bullet"/>
      <w:lvlText w:val="•"/>
      <w:lvlJc w:val="left"/>
      <w:pPr>
        <w:ind w:left="4470" w:hanging="536"/>
      </w:pPr>
      <w:rPr>
        <w:rFonts w:hint="default"/>
        <w:lang w:val="id" w:eastAsia="en-US" w:bidi="ar-SA"/>
      </w:rPr>
    </w:lvl>
    <w:lvl w:ilvl="6">
      <w:numFmt w:val="bullet"/>
      <w:lvlText w:val="•"/>
      <w:lvlJc w:val="left"/>
      <w:pPr>
        <w:ind w:left="5308" w:hanging="536"/>
      </w:pPr>
      <w:rPr>
        <w:rFonts w:hint="default"/>
        <w:lang w:val="id" w:eastAsia="en-US" w:bidi="ar-SA"/>
      </w:rPr>
    </w:lvl>
    <w:lvl w:ilvl="7">
      <w:numFmt w:val="bullet"/>
      <w:lvlText w:val="•"/>
      <w:lvlJc w:val="left"/>
      <w:pPr>
        <w:ind w:left="6146" w:hanging="536"/>
      </w:pPr>
      <w:rPr>
        <w:rFonts w:hint="default"/>
        <w:lang w:val="id" w:eastAsia="en-US" w:bidi="ar-SA"/>
      </w:rPr>
    </w:lvl>
    <w:lvl w:ilvl="8">
      <w:numFmt w:val="bullet"/>
      <w:lvlText w:val="•"/>
      <w:lvlJc w:val="left"/>
      <w:pPr>
        <w:ind w:left="6983" w:hanging="536"/>
      </w:pPr>
      <w:rPr>
        <w:rFonts w:hint="default"/>
        <w:lang w:val="id" w:eastAsia="en-US" w:bidi="ar-SA"/>
      </w:rPr>
    </w:lvl>
  </w:abstractNum>
  <w:abstractNum w:abstractNumId="31" w15:restartNumberingAfterBreak="0">
    <w:nsid w:val="7E5441D9"/>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EC23D61"/>
    <w:multiLevelType w:val="hybridMultilevel"/>
    <w:tmpl w:val="1CEE60D6"/>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15:restartNumberingAfterBreak="0">
    <w:nsid w:val="7ED2125E"/>
    <w:multiLevelType w:val="hybridMultilevel"/>
    <w:tmpl w:val="75A48E50"/>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7F802FD9"/>
    <w:multiLevelType w:val="hybridMultilevel"/>
    <w:tmpl w:val="BC127DDC"/>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21"/>
  </w:num>
  <w:num w:numId="2">
    <w:abstractNumId w:val="13"/>
  </w:num>
  <w:num w:numId="3">
    <w:abstractNumId w:val="28"/>
  </w:num>
  <w:num w:numId="4">
    <w:abstractNumId w:val="30"/>
  </w:num>
  <w:num w:numId="5">
    <w:abstractNumId w:val="18"/>
  </w:num>
  <w:num w:numId="6">
    <w:abstractNumId w:val="25"/>
  </w:num>
  <w:num w:numId="7">
    <w:abstractNumId w:val="17"/>
  </w:num>
  <w:num w:numId="8">
    <w:abstractNumId w:val="0"/>
  </w:num>
  <w:num w:numId="9">
    <w:abstractNumId w:val="10"/>
  </w:num>
  <w:num w:numId="10">
    <w:abstractNumId w:val="26"/>
  </w:num>
  <w:num w:numId="11">
    <w:abstractNumId w:val="8"/>
  </w:num>
  <w:num w:numId="12">
    <w:abstractNumId w:val="20"/>
  </w:num>
  <w:num w:numId="13">
    <w:abstractNumId w:val="22"/>
  </w:num>
  <w:num w:numId="14">
    <w:abstractNumId w:val="12"/>
  </w:num>
  <w:num w:numId="15">
    <w:abstractNumId w:val="15"/>
  </w:num>
  <w:num w:numId="16">
    <w:abstractNumId w:val="24"/>
  </w:num>
  <w:num w:numId="17">
    <w:abstractNumId w:val="7"/>
  </w:num>
  <w:num w:numId="18">
    <w:abstractNumId w:val="31"/>
  </w:num>
  <w:num w:numId="19">
    <w:abstractNumId w:val="19"/>
  </w:num>
  <w:num w:numId="20">
    <w:abstractNumId w:val="9"/>
  </w:num>
  <w:num w:numId="21">
    <w:abstractNumId w:val="5"/>
  </w:num>
  <w:num w:numId="22">
    <w:abstractNumId w:val="16"/>
  </w:num>
  <w:num w:numId="23">
    <w:abstractNumId w:val="23"/>
  </w:num>
  <w:num w:numId="24">
    <w:abstractNumId w:val="29"/>
  </w:num>
  <w:num w:numId="25">
    <w:abstractNumId w:val="11"/>
  </w:num>
  <w:num w:numId="26">
    <w:abstractNumId w:val="27"/>
  </w:num>
  <w:num w:numId="27">
    <w:abstractNumId w:val="2"/>
  </w:num>
  <w:num w:numId="28">
    <w:abstractNumId w:val="33"/>
  </w:num>
  <w:num w:numId="29">
    <w:abstractNumId w:val="4"/>
  </w:num>
  <w:num w:numId="30">
    <w:abstractNumId w:val="1"/>
  </w:num>
  <w:num w:numId="31">
    <w:abstractNumId w:val="32"/>
  </w:num>
  <w:num w:numId="32">
    <w:abstractNumId w:val="3"/>
  </w:num>
  <w:num w:numId="33">
    <w:abstractNumId w:val="6"/>
  </w:num>
  <w:num w:numId="34">
    <w:abstractNumId w:val="34"/>
  </w:num>
  <w:num w:numId="35">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53"/>
    <w:rsid w:val="000139F4"/>
    <w:rsid w:val="000206FD"/>
    <w:rsid w:val="000261AA"/>
    <w:rsid w:val="00030D4C"/>
    <w:rsid w:val="0003229A"/>
    <w:rsid w:val="00035E46"/>
    <w:rsid w:val="00041C39"/>
    <w:rsid w:val="000461B1"/>
    <w:rsid w:val="0005083E"/>
    <w:rsid w:val="0005365C"/>
    <w:rsid w:val="00056C26"/>
    <w:rsid w:val="000629AB"/>
    <w:rsid w:val="00066137"/>
    <w:rsid w:val="00072EF3"/>
    <w:rsid w:val="00077335"/>
    <w:rsid w:val="00083E74"/>
    <w:rsid w:val="000958BA"/>
    <w:rsid w:val="00096F78"/>
    <w:rsid w:val="00097511"/>
    <w:rsid w:val="00097A0F"/>
    <w:rsid w:val="000A13B6"/>
    <w:rsid w:val="000B09A1"/>
    <w:rsid w:val="000B10A4"/>
    <w:rsid w:val="000B12BA"/>
    <w:rsid w:val="000B2909"/>
    <w:rsid w:val="000B54C2"/>
    <w:rsid w:val="000C099D"/>
    <w:rsid w:val="000C1130"/>
    <w:rsid w:val="000C7B8F"/>
    <w:rsid w:val="000E7721"/>
    <w:rsid w:val="000F1A7D"/>
    <w:rsid w:val="00102B93"/>
    <w:rsid w:val="00103A99"/>
    <w:rsid w:val="0010536E"/>
    <w:rsid w:val="00107399"/>
    <w:rsid w:val="00130FD8"/>
    <w:rsid w:val="00137B5F"/>
    <w:rsid w:val="001421EA"/>
    <w:rsid w:val="00145D08"/>
    <w:rsid w:val="00147E75"/>
    <w:rsid w:val="0015032A"/>
    <w:rsid w:val="00156B59"/>
    <w:rsid w:val="00163A09"/>
    <w:rsid w:val="00164247"/>
    <w:rsid w:val="001803C6"/>
    <w:rsid w:val="001844B7"/>
    <w:rsid w:val="001A7AF2"/>
    <w:rsid w:val="001B0594"/>
    <w:rsid w:val="001B3A1B"/>
    <w:rsid w:val="001C1D51"/>
    <w:rsid w:val="001D2493"/>
    <w:rsid w:val="001D6E46"/>
    <w:rsid w:val="001E3C87"/>
    <w:rsid w:val="001E78FB"/>
    <w:rsid w:val="001F19D0"/>
    <w:rsid w:val="001F530A"/>
    <w:rsid w:val="001F6BA3"/>
    <w:rsid w:val="00203B8E"/>
    <w:rsid w:val="002145A0"/>
    <w:rsid w:val="0022580B"/>
    <w:rsid w:val="00225B9F"/>
    <w:rsid w:val="00233F6F"/>
    <w:rsid w:val="00241DC4"/>
    <w:rsid w:val="00244899"/>
    <w:rsid w:val="00250697"/>
    <w:rsid w:val="002525B5"/>
    <w:rsid w:val="002845A0"/>
    <w:rsid w:val="00290D46"/>
    <w:rsid w:val="002A0026"/>
    <w:rsid w:val="002B0AC2"/>
    <w:rsid w:val="002B4353"/>
    <w:rsid w:val="002D5CEF"/>
    <w:rsid w:val="002E1B28"/>
    <w:rsid w:val="003004D5"/>
    <w:rsid w:val="003005A0"/>
    <w:rsid w:val="00305541"/>
    <w:rsid w:val="003060DE"/>
    <w:rsid w:val="00307F0A"/>
    <w:rsid w:val="003142F3"/>
    <w:rsid w:val="003317D5"/>
    <w:rsid w:val="00332E7B"/>
    <w:rsid w:val="00346396"/>
    <w:rsid w:val="00353363"/>
    <w:rsid w:val="0035767A"/>
    <w:rsid w:val="00360273"/>
    <w:rsid w:val="00361802"/>
    <w:rsid w:val="00361E55"/>
    <w:rsid w:val="00365CA0"/>
    <w:rsid w:val="00371D47"/>
    <w:rsid w:val="00372C64"/>
    <w:rsid w:val="003759E4"/>
    <w:rsid w:val="00383280"/>
    <w:rsid w:val="00386499"/>
    <w:rsid w:val="003A5BC5"/>
    <w:rsid w:val="003A6760"/>
    <w:rsid w:val="003A7A9E"/>
    <w:rsid w:val="003B7036"/>
    <w:rsid w:val="003C2364"/>
    <w:rsid w:val="003C3F4C"/>
    <w:rsid w:val="003D2AF0"/>
    <w:rsid w:val="003D50C6"/>
    <w:rsid w:val="003D5FCA"/>
    <w:rsid w:val="003E07F1"/>
    <w:rsid w:val="003E5786"/>
    <w:rsid w:val="003F007C"/>
    <w:rsid w:val="003F53B8"/>
    <w:rsid w:val="00403139"/>
    <w:rsid w:val="004063DB"/>
    <w:rsid w:val="0041550A"/>
    <w:rsid w:val="00421E00"/>
    <w:rsid w:val="004226A7"/>
    <w:rsid w:val="00423CF0"/>
    <w:rsid w:val="00426711"/>
    <w:rsid w:val="004348F7"/>
    <w:rsid w:val="0043788E"/>
    <w:rsid w:val="00445180"/>
    <w:rsid w:val="0044690D"/>
    <w:rsid w:val="00457314"/>
    <w:rsid w:val="00461626"/>
    <w:rsid w:val="0046336C"/>
    <w:rsid w:val="00474FC4"/>
    <w:rsid w:val="00482B6C"/>
    <w:rsid w:val="0048359B"/>
    <w:rsid w:val="00494901"/>
    <w:rsid w:val="004953B1"/>
    <w:rsid w:val="004A089D"/>
    <w:rsid w:val="004A2F46"/>
    <w:rsid w:val="004B3819"/>
    <w:rsid w:val="004B6522"/>
    <w:rsid w:val="004B6F29"/>
    <w:rsid w:val="004C01F5"/>
    <w:rsid w:val="004C0CC4"/>
    <w:rsid w:val="004C1CD0"/>
    <w:rsid w:val="004C219C"/>
    <w:rsid w:val="004C36A9"/>
    <w:rsid w:val="004C4CD3"/>
    <w:rsid w:val="004D102B"/>
    <w:rsid w:val="004D161E"/>
    <w:rsid w:val="004D3357"/>
    <w:rsid w:val="004E0C14"/>
    <w:rsid w:val="004E1876"/>
    <w:rsid w:val="004E49D0"/>
    <w:rsid w:val="004E651A"/>
    <w:rsid w:val="004E69E9"/>
    <w:rsid w:val="004F45B7"/>
    <w:rsid w:val="004F5D38"/>
    <w:rsid w:val="004F64A9"/>
    <w:rsid w:val="00510120"/>
    <w:rsid w:val="005127B1"/>
    <w:rsid w:val="0051409E"/>
    <w:rsid w:val="00517B6B"/>
    <w:rsid w:val="005223B7"/>
    <w:rsid w:val="0052356D"/>
    <w:rsid w:val="0054213C"/>
    <w:rsid w:val="00544532"/>
    <w:rsid w:val="0054750F"/>
    <w:rsid w:val="00556613"/>
    <w:rsid w:val="00561B5D"/>
    <w:rsid w:val="00573904"/>
    <w:rsid w:val="00574741"/>
    <w:rsid w:val="00575801"/>
    <w:rsid w:val="00580191"/>
    <w:rsid w:val="00581DBD"/>
    <w:rsid w:val="00586B4E"/>
    <w:rsid w:val="00587A72"/>
    <w:rsid w:val="00595A4B"/>
    <w:rsid w:val="00595EB2"/>
    <w:rsid w:val="005A6499"/>
    <w:rsid w:val="005B26AB"/>
    <w:rsid w:val="005C3A76"/>
    <w:rsid w:val="005C457A"/>
    <w:rsid w:val="005C7E8C"/>
    <w:rsid w:val="005D0316"/>
    <w:rsid w:val="005D0F1F"/>
    <w:rsid w:val="005D4AED"/>
    <w:rsid w:val="005E53AD"/>
    <w:rsid w:val="005F0BE4"/>
    <w:rsid w:val="00605666"/>
    <w:rsid w:val="00605B8A"/>
    <w:rsid w:val="00614EC9"/>
    <w:rsid w:val="00617295"/>
    <w:rsid w:val="00626239"/>
    <w:rsid w:val="0062746F"/>
    <w:rsid w:val="006324D2"/>
    <w:rsid w:val="00634E8B"/>
    <w:rsid w:val="006377BC"/>
    <w:rsid w:val="0064142F"/>
    <w:rsid w:val="006441D1"/>
    <w:rsid w:val="006443E9"/>
    <w:rsid w:val="006564CA"/>
    <w:rsid w:val="00665A0E"/>
    <w:rsid w:val="006718EB"/>
    <w:rsid w:val="0067295D"/>
    <w:rsid w:val="00676BBB"/>
    <w:rsid w:val="006820D7"/>
    <w:rsid w:val="006858BD"/>
    <w:rsid w:val="006905F3"/>
    <w:rsid w:val="00694B2E"/>
    <w:rsid w:val="006977D4"/>
    <w:rsid w:val="006A1391"/>
    <w:rsid w:val="006B0292"/>
    <w:rsid w:val="006B0BE9"/>
    <w:rsid w:val="006C4F37"/>
    <w:rsid w:val="006C57D4"/>
    <w:rsid w:val="006C641D"/>
    <w:rsid w:val="006C7390"/>
    <w:rsid w:val="006D50D4"/>
    <w:rsid w:val="006F3FCC"/>
    <w:rsid w:val="006F531F"/>
    <w:rsid w:val="006F675C"/>
    <w:rsid w:val="00701770"/>
    <w:rsid w:val="00702853"/>
    <w:rsid w:val="007109F5"/>
    <w:rsid w:val="00715614"/>
    <w:rsid w:val="00720881"/>
    <w:rsid w:val="00721CDA"/>
    <w:rsid w:val="00725F76"/>
    <w:rsid w:val="00742928"/>
    <w:rsid w:val="00752559"/>
    <w:rsid w:val="00770C6E"/>
    <w:rsid w:val="00781B7B"/>
    <w:rsid w:val="007A01E5"/>
    <w:rsid w:val="007B5C9A"/>
    <w:rsid w:val="007B6C8D"/>
    <w:rsid w:val="007E6677"/>
    <w:rsid w:val="008060C0"/>
    <w:rsid w:val="008060C8"/>
    <w:rsid w:val="0081063B"/>
    <w:rsid w:val="008172D1"/>
    <w:rsid w:val="00823967"/>
    <w:rsid w:val="00851E57"/>
    <w:rsid w:val="00853AE1"/>
    <w:rsid w:val="008542A8"/>
    <w:rsid w:val="00862D5A"/>
    <w:rsid w:val="00874089"/>
    <w:rsid w:val="00875AA4"/>
    <w:rsid w:val="0088260E"/>
    <w:rsid w:val="0088741A"/>
    <w:rsid w:val="008927A8"/>
    <w:rsid w:val="008B2642"/>
    <w:rsid w:val="008B2D4D"/>
    <w:rsid w:val="008C00A6"/>
    <w:rsid w:val="008C40B1"/>
    <w:rsid w:val="008D2005"/>
    <w:rsid w:val="008D3743"/>
    <w:rsid w:val="008D46BB"/>
    <w:rsid w:val="008D5C8C"/>
    <w:rsid w:val="008D65C8"/>
    <w:rsid w:val="008E3BC9"/>
    <w:rsid w:val="008E3DB2"/>
    <w:rsid w:val="008F4036"/>
    <w:rsid w:val="008F4140"/>
    <w:rsid w:val="008F519E"/>
    <w:rsid w:val="008F6448"/>
    <w:rsid w:val="008F7AD8"/>
    <w:rsid w:val="00902032"/>
    <w:rsid w:val="00905709"/>
    <w:rsid w:val="0092473A"/>
    <w:rsid w:val="00926652"/>
    <w:rsid w:val="00931CE3"/>
    <w:rsid w:val="00942C33"/>
    <w:rsid w:val="009445F8"/>
    <w:rsid w:val="009514CD"/>
    <w:rsid w:val="00955442"/>
    <w:rsid w:val="00960191"/>
    <w:rsid w:val="00960AAF"/>
    <w:rsid w:val="009656FA"/>
    <w:rsid w:val="00965CE1"/>
    <w:rsid w:val="009719DC"/>
    <w:rsid w:val="0097343C"/>
    <w:rsid w:val="00982B37"/>
    <w:rsid w:val="00991E60"/>
    <w:rsid w:val="00993910"/>
    <w:rsid w:val="00995925"/>
    <w:rsid w:val="009A06E1"/>
    <w:rsid w:val="009B382D"/>
    <w:rsid w:val="009B42EF"/>
    <w:rsid w:val="009B437A"/>
    <w:rsid w:val="009B5FAE"/>
    <w:rsid w:val="009C0D6E"/>
    <w:rsid w:val="009C3A99"/>
    <w:rsid w:val="009C4D16"/>
    <w:rsid w:val="009C5A28"/>
    <w:rsid w:val="009C5C44"/>
    <w:rsid w:val="009C6B00"/>
    <w:rsid w:val="009E4105"/>
    <w:rsid w:val="009E4F97"/>
    <w:rsid w:val="00A035CE"/>
    <w:rsid w:val="00A036B4"/>
    <w:rsid w:val="00A1107A"/>
    <w:rsid w:val="00A12888"/>
    <w:rsid w:val="00A14DBD"/>
    <w:rsid w:val="00A23974"/>
    <w:rsid w:val="00A3221D"/>
    <w:rsid w:val="00A332B9"/>
    <w:rsid w:val="00A37558"/>
    <w:rsid w:val="00A40DC4"/>
    <w:rsid w:val="00A44E24"/>
    <w:rsid w:val="00A50018"/>
    <w:rsid w:val="00A57270"/>
    <w:rsid w:val="00A576A4"/>
    <w:rsid w:val="00A65B95"/>
    <w:rsid w:val="00A73B4A"/>
    <w:rsid w:val="00A75E0B"/>
    <w:rsid w:val="00A86C4D"/>
    <w:rsid w:val="00A9206B"/>
    <w:rsid w:val="00A92C0A"/>
    <w:rsid w:val="00AA31AB"/>
    <w:rsid w:val="00AB156D"/>
    <w:rsid w:val="00AB3A83"/>
    <w:rsid w:val="00AC0562"/>
    <w:rsid w:val="00AD3F39"/>
    <w:rsid w:val="00AD5298"/>
    <w:rsid w:val="00AD627E"/>
    <w:rsid w:val="00AE428E"/>
    <w:rsid w:val="00AE6B17"/>
    <w:rsid w:val="00AE6C72"/>
    <w:rsid w:val="00AE7CF2"/>
    <w:rsid w:val="00AF0E02"/>
    <w:rsid w:val="00AF4DC4"/>
    <w:rsid w:val="00B02D2E"/>
    <w:rsid w:val="00B046F4"/>
    <w:rsid w:val="00B0576E"/>
    <w:rsid w:val="00B10D3A"/>
    <w:rsid w:val="00B206BF"/>
    <w:rsid w:val="00B260BF"/>
    <w:rsid w:val="00B35986"/>
    <w:rsid w:val="00B3607F"/>
    <w:rsid w:val="00B56B37"/>
    <w:rsid w:val="00B5702E"/>
    <w:rsid w:val="00B57F7F"/>
    <w:rsid w:val="00B70A14"/>
    <w:rsid w:val="00B7119E"/>
    <w:rsid w:val="00B80EF3"/>
    <w:rsid w:val="00B92407"/>
    <w:rsid w:val="00B938D5"/>
    <w:rsid w:val="00B9521A"/>
    <w:rsid w:val="00BA2964"/>
    <w:rsid w:val="00BA3CCC"/>
    <w:rsid w:val="00BA626E"/>
    <w:rsid w:val="00BB030A"/>
    <w:rsid w:val="00BB0B0A"/>
    <w:rsid w:val="00BB16BE"/>
    <w:rsid w:val="00BB5ED1"/>
    <w:rsid w:val="00BB75BF"/>
    <w:rsid w:val="00BD4DFD"/>
    <w:rsid w:val="00BD568E"/>
    <w:rsid w:val="00BD7455"/>
    <w:rsid w:val="00BE6C89"/>
    <w:rsid w:val="00BF4B30"/>
    <w:rsid w:val="00BF7675"/>
    <w:rsid w:val="00C014B5"/>
    <w:rsid w:val="00C01D0A"/>
    <w:rsid w:val="00C1086A"/>
    <w:rsid w:val="00C15965"/>
    <w:rsid w:val="00C20860"/>
    <w:rsid w:val="00C2157E"/>
    <w:rsid w:val="00C2566F"/>
    <w:rsid w:val="00C30BA2"/>
    <w:rsid w:val="00C31B70"/>
    <w:rsid w:val="00C34908"/>
    <w:rsid w:val="00C42DC4"/>
    <w:rsid w:val="00C525D8"/>
    <w:rsid w:val="00C53BF8"/>
    <w:rsid w:val="00C553EE"/>
    <w:rsid w:val="00C55DF1"/>
    <w:rsid w:val="00C55F0D"/>
    <w:rsid w:val="00C56BF5"/>
    <w:rsid w:val="00C621A5"/>
    <w:rsid w:val="00C631E0"/>
    <w:rsid w:val="00C74074"/>
    <w:rsid w:val="00C8313D"/>
    <w:rsid w:val="00C83A9F"/>
    <w:rsid w:val="00C91F11"/>
    <w:rsid w:val="00C92470"/>
    <w:rsid w:val="00C957B0"/>
    <w:rsid w:val="00CA42D7"/>
    <w:rsid w:val="00CB0546"/>
    <w:rsid w:val="00CB1D0F"/>
    <w:rsid w:val="00CC4FEC"/>
    <w:rsid w:val="00CD18F2"/>
    <w:rsid w:val="00CD5BEC"/>
    <w:rsid w:val="00CE194E"/>
    <w:rsid w:val="00CF2E6C"/>
    <w:rsid w:val="00CF42D0"/>
    <w:rsid w:val="00CF7D71"/>
    <w:rsid w:val="00D0199F"/>
    <w:rsid w:val="00D037F8"/>
    <w:rsid w:val="00D04F95"/>
    <w:rsid w:val="00D06D9B"/>
    <w:rsid w:val="00D11672"/>
    <w:rsid w:val="00D1299A"/>
    <w:rsid w:val="00D166A0"/>
    <w:rsid w:val="00D2675B"/>
    <w:rsid w:val="00D30BC0"/>
    <w:rsid w:val="00D41B63"/>
    <w:rsid w:val="00D4371A"/>
    <w:rsid w:val="00D56855"/>
    <w:rsid w:val="00D56FDF"/>
    <w:rsid w:val="00D612EA"/>
    <w:rsid w:val="00D66702"/>
    <w:rsid w:val="00D714A5"/>
    <w:rsid w:val="00D71776"/>
    <w:rsid w:val="00D75900"/>
    <w:rsid w:val="00D81901"/>
    <w:rsid w:val="00D81C2F"/>
    <w:rsid w:val="00D83D92"/>
    <w:rsid w:val="00D90B7B"/>
    <w:rsid w:val="00DA1E57"/>
    <w:rsid w:val="00DA2F93"/>
    <w:rsid w:val="00DA7D3A"/>
    <w:rsid w:val="00DB0B40"/>
    <w:rsid w:val="00DB12B6"/>
    <w:rsid w:val="00DB1EA3"/>
    <w:rsid w:val="00DB5FD3"/>
    <w:rsid w:val="00DC1F93"/>
    <w:rsid w:val="00DC2A58"/>
    <w:rsid w:val="00DD3945"/>
    <w:rsid w:val="00DD463A"/>
    <w:rsid w:val="00DD5721"/>
    <w:rsid w:val="00DE05CF"/>
    <w:rsid w:val="00DE0773"/>
    <w:rsid w:val="00DE129A"/>
    <w:rsid w:val="00DE1864"/>
    <w:rsid w:val="00DE373E"/>
    <w:rsid w:val="00E01776"/>
    <w:rsid w:val="00E031CB"/>
    <w:rsid w:val="00E16C8E"/>
    <w:rsid w:val="00E25D82"/>
    <w:rsid w:val="00E27BC6"/>
    <w:rsid w:val="00E30904"/>
    <w:rsid w:val="00E43D08"/>
    <w:rsid w:val="00E461CC"/>
    <w:rsid w:val="00E47F7C"/>
    <w:rsid w:val="00E51D40"/>
    <w:rsid w:val="00E56B75"/>
    <w:rsid w:val="00E654C3"/>
    <w:rsid w:val="00E71E99"/>
    <w:rsid w:val="00E7457F"/>
    <w:rsid w:val="00E77567"/>
    <w:rsid w:val="00E82C1E"/>
    <w:rsid w:val="00E90394"/>
    <w:rsid w:val="00EB60D8"/>
    <w:rsid w:val="00EC0BE7"/>
    <w:rsid w:val="00EC2E49"/>
    <w:rsid w:val="00ED07BF"/>
    <w:rsid w:val="00ED0A0C"/>
    <w:rsid w:val="00ED3408"/>
    <w:rsid w:val="00ED421E"/>
    <w:rsid w:val="00EE2528"/>
    <w:rsid w:val="00EE3BC3"/>
    <w:rsid w:val="00F07182"/>
    <w:rsid w:val="00F13A53"/>
    <w:rsid w:val="00F14AD8"/>
    <w:rsid w:val="00F15533"/>
    <w:rsid w:val="00F20BD5"/>
    <w:rsid w:val="00F23966"/>
    <w:rsid w:val="00F27D02"/>
    <w:rsid w:val="00F31942"/>
    <w:rsid w:val="00F34AFA"/>
    <w:rsid w:val="00F40187"/>
    <w:rsid w:val="00F50BEB"/>
    <w:rsid w:val="00F5594A"/>
    <w:rsid w:val="00F67147"/>
    <w:rsid w:val="00F946EA"/>
    <w:rsid w:val="00F96DE3"/>
    <w:rsid w:val="00F97C5B"/>
    <w:rsid w:val="00FA1C74"/>
    <w:rsid w:val="00FB4B54"/>
    <w:rsid w:val="00FB4D6A"/>
    <w:rsid w:val="00FC65B7"/>
    <w:rsid w:val="00FD0314"/>
    <w:rsid w:val="00FD0C29"/>
    <w:rsid w:val="00FD3E1F"/>
    <w:rsid w:val="00FD7D3C"/>
    <w:rsid w:val="00FE131C"/>
    <w:rsid w:val="00FE60FC"/>
    <w:rsid w:val="00FF1B44"/>
    <w:rsid w:val="00FF1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E5B5E"/>
  <w15:docId w15:val="{4E4CD6C5-2EB7-4F7F-B241-65C3A8E6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C8C"/>
    <w:pPr>
      <w:spacing w:line="480" w:lineRule="auto"/>
      <w:jc w:val="both"/>
    </w:pPr>
    <w:rPr>
      <w:rFonts w:ascii="Times New Roman" w:eastAsia="Liberation Serif" w:hAnsi="Times New Roman" w:cs="Liberation Serif"/>
      <w:sz w:val="24"/>
      <w:lang w:val="id"/>
    </w:rPr>
  </w:style>
  <w:style w:type="paragraph" w:styleId="Heading1">
    <w:name w:val="heading 1"/>
    <w:basedOn w:val="Normal"/>
    <w:link w:val="Heading1Char"/>
    <w:uiPriority w:val="9"/>
    <w:qFormat/>
    <w:rsid w:val="00203B8E"/>
    <w:pPr>
      <w:spacing w:before="1"/>
      <w:ind w:left="333" w:right="324"/>
      <w:outlineLvl w:val="0"/>
    </w:pPr>
    <w:rPr>
      <w:b/>
      <w:bCs/>
      <w:sz w:val="28"/>
      <w:szCs w:val="28"/>
    </w:rPr>
  </w:style>
  <w:style w:type="paragraph" w:styleId="Heading2">
    <w:name w:val="heading 2"/>
    <w:basedOn w:val="Normal"/>
    <w:uiPriority w:val="9"/>
    <w:unhideWhenUsed/>
    <w:qFormat/>
    <w:pPr>
      <w:ind w:left="426" w:hanging="360"/>
      <w:outlineLvl w:val="1"/>
    </w:pPr>
    <w:rPr>
      <w:b/>
      <w:bCs/>
      <w:szCs w:val="24"/>
    </w:rPr>
  </w:style>
  <w:style w:type="paragraph" w:styleId="Heading3">
    <w:name w:val="heading 3"/>
    <w:basedOn w:val="Normal"/>
    <w:next w:val="Normal"/>
    <w:link w:val="Heading3Char"/>
    <w:uiPriority w:val="9"/>
    <w:unhideWhenUsed/>
    <w:qFormat/>
    <w:rsid w:val="00A1107A"/>
    <w:pPr>
      <w:keepNext/>
      <w:keepLines/>
      <w:spacing w:before="4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A1107A"/>
    <w:pPr>
      <w:keepNext/>
      <w:keepLines/>
      <w:spacing w:before="4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AA31AB"/>
    <w:pPr>
      <w:keepNext/>
      <w:keepLines/>
      <w:spacing w:before="40"/>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66" w:right="58"/>
    </w:pPr>
    <w:rPr>
      <w:szCs w:val="24"/>
    </w:rPr>
  </w:style>
  <w:style w:type="paragraph" w:styleId="ListParagraph">
    <w:name w:val="List Paragraph"/>
    <w:basedOn w:val="Normal"/>
    <w:uiPriority w:val="34"/>
    <w:qFormat/>
    <w:pPr>
      <w:ind w:left="1200" w:right="58" w:hanging="240"/>
    </w:pPr>
  </w:style>
  <w:style w:type="paragraph" w:customStyle="1" w:styleId="TableParagraph">
    <w:name w:val="Table Paragraph"/>
    <w:basedOn w:val="Normal"/>
    <w:uiPriority w:val="1"/>
    <w:qFormat/>
    <w:pPr>
      <w:spacing w:before="79"/>
      <w:ind w:left="12"/>
      <w:jc w:val="center"/>
    </w:pPr>
  </w:style>
  <w:style w:type="paragraph" w:styleId="NormalWeb">
    <w:name w:val="Normal (Web)"/>
    <w:basedOn w:val="Normal"/>
    <w:uiPriority w:val="99"/>
    <w:unhideWhenUsed/>
    <w:rsid w:val="000C1130"/>
    <w:pPr>
      <w:widowControl/>
      <w:autoSpaceDE/>
      <w:autoSpaceDN/>
      <w:ind w:firstLine="720"/>
    </w:pPr>
    <w:rPr>
      <w:rFonts w:eastAsiaTheme="minorEastAsia" w:cs="Times New Roman"/>
      <w:szCs w:val="24"/>
      <w:lang w:val="en-US"/>
    </w:rPr>
  </w:style>
  <w:style w:type="paragraph" w:customStyle="1" w:styleId="table-source">
    <w:name w:val="table-source"/>
    <w:basedOn w:val="Normal"/>
    <w:rsid w:val="000C1130"/>
    <w:pPr>
      <w:widowControl/>
      <w:autoSpaceDE/>
      <w:autoSpaceDN/>
      <w:spacing w:after="360"/>
      <w:jc w:val="center"/>
    </w:pPr>
    <w:rPr>
      <w:rFonts w:eastAsiaTheme="minorEastAsia" w:cs="Times New Roman"/>
      <w:i/>
      <w:iCs/>
      <w:sz w:val="20"/>
      <w:szCs w:val="20"/>
      <w:lang w:val="en-US"/>
    </w:rPr>
  </w:style>
  <w:style w:type="table" w:styleId="TableGrid">
    <w:name w:val="Table Grid"/>
    <w:basedOn w:val="TableNormal"/>
    <w:uiPriority w:val="39"/>
    <w:rsid w:val="000C1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E6677"/>
    <w:rPr>
      <w:i/>
      <w:iCs/>
    </w:rPr>
  </w:style>
  <w:style w:type="character" w:styleId="Hyperlink">
    <w:name w:val="Hyperlink"/>
    <w:basedOn w:val="DefaultParagraphFont"/>
    <w:uiPriority w:val="99"/>
    <w:unhideWhenUsed/>
    <w:rsid w:val="007E6677"/>
    <w:rPr>
      <w:color w:val="0000FF"/>
      <w:u w:val="single"/>
    </w:rPr>
  </w:style>
  <w:style w:type="paragraph" w:styleId="Title">
    <w:name w:val="Title"/>
    <w:basedOn w:val="Normal"/>
    <w:link w:val="TitleChar"/>
    <w:uiPriority w:val="10"/>
    <w:qFormat/>
    <w:rsid w:val="00E25D82"/>
    <w:pPr>
      <w:ind w:left="3129" w:right="2438" w:firstLine="984"/>
    </w:pPr>
    <w:rPr>
      <w:b/>
      <w:bCs/>
      <w:sz w:val="28"/>
      <w:szCs w:val="28"/>
    </w:rPr>
  </w:style>
  <w:style w:type="character" w:customStyle="1" w:styleId="TitleChar">
    <w:name w:val="Title Char"/>
    <w:basedOn w:val="DefaultParagraphFont"/>
    <w:link w:val="Title"/>
    <w:uiPriority w:val="10"/>
    <w:rsid w:val="00E25D82"/>
    <w:rPr>
      <w:rFonts w:ascii="Liberation Serif" w:eastAsia="Liberation Serif" w:hAnsi="Liberation Serif" w:cs="Liberation Serif"/>
      <w:b/>
      <w:bCs/>
      <w:sz w:val="28"/>
      <w:szCs w:val="28"/>
      <w:lang w:val="id"/>
    </w:rPr>
  </w:style>
  <w:style w:type="character" w:customStyle="1" w:styleId="BodyTextChar">
    <w:name w:val="Body Text Char"/>
    <w:basedOn w:val="DefaultParagraphFont"/>
    <w:link w:val="BodyText"/>
    <w:uiPriority w:val="1"/>
    <w:rsid w:val="00F5594A"/>
    <w:rPr>
      <w:rFonts w:ascii="Liberation Serif" w:eastAsia="Liberation Serif" w:hAnsi="Liberation Serif" w:cs="Liberation Serif"/>
      <w:sz w:val="24"/>
      <w:szCs w:val="24"/>
      <w:lang w:val="id"/>
    </w:rPr>
  </w:style>
  <w:style w:type="character" w:styleId="CommentReference">
    <w:name w:val="annotation reference"/>
    <w:basedOn w:val="DefaultParagraphFont"/>
    <w:uiPriority w:val="99"/>
    <w:semiHidden/>
    <w:unhideWhenUsed/>
    <w:rsid w:val="009E4105"/>
    <w:rPr>
      <w:sz w:val="16"/>
      <w:szCs w:val="16"/>
    </w:rPr>
  </w:style>
  <w:style w:type="paragraph" w:styleId="CommentText">
    <w:name w:val="annotation text"/>
    <w:basedOn w:val="Normal"/>
    <w:link w:val="CommentTextChar"/>
    <w:uiPriority w:val="99"/>
    <w:semiHidden/>
    <w:unhideWhenUsed/>
    <w:rsid w:val="009E4105"/>
    <w:rPr>
      <w:sz w:val="20"/>
      <w:szCs w:val="20"/>
    </w:rPr>
  </w:style>
  <w:style w:type="character" w:customStyle="1" w:styleId="CommentTextChar">
    <w:name w:val="Comment Text Char"/>
    <w:basedOn w:val="DefaultParagraphFont"/>
    <w:link w:val="CommentText"/>
    <w:uiPriority w:val="99"/>
    <w:semiHidden/>
    <w:rsid w:val="009E4105"/>
    <w:rPr>
      <w:rFonts w:ascii="Liberation Serif" w:eastAsia="Liberation Serif" w:hAnsi="Liberation Serif" w:cs="Liberation Serif"/>
      <w:sz w:val="20"/>
      <w:szCs w:val="20"/>
      <w:lang w:val="id"/>
    </w:rPr>
  </w:style>
  <w:style w:type="paragraph" w:styleId="CommentSubject">
    <w:name w:val="annotation subject"/>
    <w:basedOn w:val="CommentText"/>
    <w:next w:val="CommentText"/>
    <w:link w:val="CommentSubjectChar"/>
    <w:uiPriority w:val="99"/>
    <w:semiHidden/>
    <w:unhideWhenUsed/>
    <w:rsid w:val="009E4105"/>
    <w:rPr>
      <w:b/>
      <w:bCs/>
    </w:rPr>
  </w:style>
  <w:style w:type="character" w:customStyle="1" w:styleId="CommentSubjectChar">
    <w:name w:val="Comment Subject Char"/>
    <w:basedOn w:val="CommentTextChar"/>
    <w:link w:val="CommentSubject"/>
    <w:uiPriority w:val="99"/>
    <w:semiHidden/>
    <w:rsid w:val="009E4105"/>
    <w:rPr>
      <w:rFonts w:ascii="Liberation Serif" w:eastAsia="Liberation Serif" w:hAnsi="Liberation Serif" w:cs="Liberation Serif"/>
      <w:b/>
      <w:bCs/>
      <w:sz w:val="20"/>
      <w:szCs w:val="20"/>
      <w:lang w:val="id"/>
    </w:rPr>
  </w:style>
  <w:style w:type="character" w:customStyle="1" w:styleId="Heading1Char">
    <w:name w:val="Heading 1 Char"/>
    <w:basedOn w:val="DefaultParagraphFont"/>
    <w:link w:val="Heading1"/>
    <w:uiPriority w:val="9"/>
    <w:rsid w:val="00203B8E"/>
    <w:rPr>
      <w:rFonts w:ascii="Times New Roman" w:eastAsia="Liberation Serif" w:hAnsi="Times New Roman" w:cs="Liberation Serif"/>
      <w:b/>
      <w:bCs/>
      <w:sz w:val="28"/>
      <w:szCs w:val="28"/>
      <w:lang w:val="id"/>
    </w:rPr>
  </w:style>
  <w:style w:type="character" w:styleId="PlaceholderText">
    <w:name w:val="Placeholder Text"/>
    <w:basedOn w:val="DefaultParagraphFont"/>
    <w:uiPriority w:val="99"/>
    <w:semiHidden/>
    <w:rsid w:val="00CD5BEC"/>
    <w:rPr>
      <w:color w:val="808080"/>
    </w:rPr>
  </w:style>
  <w:style w:type="paragraph" w:customStyle="1" w:styleId="msonormal0">
    <w:name w:val="msonormal"/>
    <w:basedOn w:val="Normal"/>
    <w:rsid w:val="000B12BA"/>
    <w:pPr>
      <w:widowControl/>
      <w:autoSpaceDE/>
      <w:autoSpaceDN/>
      <w:spacing w:before="100" w:beforeAutospacing="1" w:after="100" w:afterAutospacing="1"/>
    </w:pPr>
    <w:rPr>
      <w:rFonts w:eastAsiaTheme="minorEastAsia" w:cs="Times New Roman"/>
      <w:szCs w:val="24"/>
      <w:lang w:val="en-ID" w:eastAsia="en-ID"/>
    </w:rPr>
  </w:style>
  <w:style w:type="paragraph" w:styleId="FootnoteText">
    <w:name w:val="footnote text"/>
    <w:basedOn w:val="Normal"/>
    <w:link w:val="FootnoteTextChar"/>
    <w:uiPriority w:val="99"/>
    <w:semiHidden/>
    <w:unhideWhenUsed/>
    <w:rsid w:val="00C83A9F"/>
    <w:rPr>
      <w:sz w:val="20"/>
      <w:szCs w:val="20"/>
    </w:rPr>
  </w:style>
  <w:style w:type="character" w:customStyle="1" w:styleId="FootnoteTextChar">
    <w:name w:val="Footnote Text Char"/>
    <w:basedOn w:val="DefaultParagraphFont"/>
    <w:link w:val="FootnoteText"/>
    <w:uiPriority w:val="99"/>
    <w:semiHidden/>
    <w:rsid w:val="00C83A9F"/>
    <w:rPr>
      <w:rFonts w:ascii="Liberation Serif" w:eastAsia="Liberation Serif" w:hAnsi="Liberation Serif" w:cs="Liberation Serif"/>
      <w:sz w:val="20"/>
      <w:szCs w:val="20"/>
      <w:lang w:val="id"/>
    </w:rPr>
  </w:style>
  <w:style w:type="character" w:styleId="FootnoteReference">
    <w:name w:val="footnote reference"/>
    <w:basedOn w:val="DefaultParagraphFont"/>
    <w:uiPriority w:val="99"/>
    <w:semiHidden/>
    <w:unhideWhenUsed/>
    <w:rsid w:val="00C83A9F"/>
    <w:rPr>
      <w:vertAlign w:val="superscript"/>
    </w:rPr>
  </w:style>
  <w:style w:type="paragraph" w:styleId="Caption">
    <w:name w:val="caption"/>
    <w:basedOn w:val="Normal"/>
    <w:next w:val="Normal"/>
    <w:uiPriority w:val="35"/>
    <w:unhideWhenUsed/>
    <w:qFormat/>
    <w:rsid w:val="00AF4DC4"/>
    <w:pPr>
      <w:spacing w:after="200"/>
    </w:pPr>
    <w:rPr>
      <w:i/>
      <w:iCs/>
      <w:color w:val="1F497D" w:themeColor="text2"/>
      <w:sz w:val="18"/>
      <w:szCs w:val="18"/>
    </w:rPr>
  </w:style>
  <w:style w:type="character" w:customStyle="1" w:styleId="Heading3Char">
    <w:name w:val="Heading 3 Char"/>
    <w:basedOn w:val="DefaultParagraphFont"/>
    <w:link w:val="Heading3"/>
    <w:uiPriority w:val="9"/>
    <w:rsid w:val="00A1107A"/>
    <w:rPr>
      <w:rFonts w:ascii="Times New Roman" w:eastAsiaTheme="majorEastAsia" w:hAnsi="Times New Roman" w:cstheme="majorBidi"/>
      <w:b/>
      <w:color w:val="000000" w:themeColor="text1"/>
      <w:sz w:val="24"/>
      <w:szCs w:val="24"/>
      <w:lang w:val="id"/>
    </w:rPr>
  </w:style>
  <w:style w:type="character" w:customStyle="1" w:styleId="Heading4Char">
    <w:name w:val="Heading 4 Char"/>
    <w:basedOn w:val="DefaultParagraphFont"/>
    <w:link w:val="Heading4"/>
    <w:uiPriority w:val="9"/>
    <w:rsid w:val="00A1107A"/>
    <w:rPr>
      <w:rFonts w:ascii="Times New Roman" w:eastAsiaTheme="majorEastAsia" w:hAnsi="Times New Roman" w:cstheme="majorBidi"/>
      <w:b/>
      <w:iCs/>
      <w:color w:val="000000" w:themeColor="text1"/>
      <w:sz w:val="24"/>
      <w:lang w:val="id"/>
    </w:rPr>
  </w:style>
  <w:style w:type="paragraph" w:styleId="Footer">
    <w:name w:val="footer"/>
    <w:basedOn w:val="Normal"/>
    <w:link w:val="FooterChar"/>
    <w:uiPriority w:val="99"/>
    <w:unhideWhenUsed/>
    <w:rsid w:val="00203B8E"/>
    <w:pPr>
      <w:widowControl/>
      <w:tabs>
        <w:tab w:val="center" w:pos="4513"/>
        <w:tab w:val="right" w:pos="9026"/>
      </w:tabs>
      <w:autoSpaceDE/>
      <w:autoSpaceDN/>
      <w:spacing w:line="240" w:lineRule="auto"/>
    </w:pPr>
    <w:rPr>
      <w:rFonts w:eastAsiaTheme="minorHAnsi" w:cstheme="minorBidi"/>
      <w:noProof/>
      <w:lang w:val="id-ID"/>
    </w:rPr>
  </w:style>
  <w:style w:type="character" w:customStyle="1" w:styleId="FooterChar">
    <w:name w:val="Footer Char"/>
    <w:basedOn w:val="DefaultParagraphFont"/>
    <w:link w:val="Footer"/>
    <w:uiPriority w:val="99"/>
    <w:rsid w:val="00203B8E"/>
    <w:rPr>
      <w:rFonts w:ascii="Times New Roman" w:hAnsi="Times New Roman"/>
      <w:noProof/>
      <w:sz w:val="24"/>
      <w:lang w:val="id-ID"/>
    </w:rPr>
  </w:style>
  <w:style w:type="character" w:customStyle="1" w:styleId="Heading5Char">
    <w:name w:val="Heading 5 Char"/>
    <w:basedOn w:val="DefaultParagraphFont"/>
    <w:link w:val="Heading5"/>
    <w:uiPriority w:val="9"/>
    <w:rsid w:val="00AA31AB"/>
    <w:rPr>
      <w:rFonts w:ascii="Times New Roman" w:eastAsiaTheme="majorEastAsia" w:hAnsi="Times New Roman" w:cstheme="majorBidi"/>
      <w:color w:val="000000" w:themeColor="text1"/>
      <w:sz w:val="24"/>
      <w:lang w:val="id"/>
    </w:rPr>
  </w:style>
  <w:style w:type="paragraph" w:styleId="Header">
    <w:name w:val="header"/>
    <w:basedOn w:val="Normal"/>
    <w:link w:val="HeaderChar"/>
    <w:uiPriority w:val="99"/>
    <w:unhideWhenUsed/>
    <w:rsid w:val="003759E4"/>
    <w:pPr>
      <w:tabs>
        <w:tab w:val="center" w:pos="4513"/>
        <w:tab w:val="right" w:pos="9026"/>
      </w:tabs>
      <w:spacing w:line="240" w:lineRule="auto"/>
    </w:pPr>
  </w:style>
  <w:style w:type="character" w:customStyle="1" w:styleId="HeaderChar">
    <w:name w:val="Header Char"/>
    <w:basedOn w:val="DefaultParagraphFont"/>
    <w:link w:val="Header"/>
    <w:uiPriority w:val="99"/>
    <w:rsid w:val="003759E4"/>
    <w:rPr>
      <w:rFonts w:ascii="Times New Roman" w:eastAsia="Liberation Serif" w:hAnsi="Times New Roman" w:cs="Liberation Serif"/>
      <w:sz w:val="24"/>
      <w:lang w:val="id"/>
    </w:rPr>
  </w:style>
  <w:style w:type="paragraph" w:styleId="TOCHeading">
    <w:name w:val="TOC Heading"/>
    <w:basedOn w:val="Heading1"/>
    <w:next w:val="Normal"/>
    <w:uiPriority w:val="39"/>
    <w:unhideWhenUsed/>
    <w:qFormat/>
    <w:rsid w:val="009C5C44"/>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580191"/>
    <w:pPr>
      <w:tabs>
        <w:tab w:val="right" w:leader="dot" w:pos="7941"/>
      </w:tabs>
      <w:spacing w:after="100"/>
    </w:pPr>
    <w:rPr>
      <w:b/>
      <w:bCs/>
      <w:noProof/>
      <w:lang w:val="en-US"/>
    </w:rPr>
  </w:style>
  <w:style w:type="paragraph" w:styleId="TOC2">
    <w:name w:val="toc 2"/>
    <w:basedOn w:val="Normal"/>
    <w:next w:val="Normal"/>
    <w:autoRedefine/>
    <w:uiPriority w:val="39"/>
    <w:unhideWhenUsed/>
    <w:rsid w:val="009C5C44"/>
    <w:pPr>
      <w:spacing w:after="100"/>
      <w:ind w:left="240"/>
    </w:pPr>
  </w:style>
  <w:style w:type="paragraph" w:styleId="TOC3">
    <w:name w:val="toc 3"/>
    <w:basedOn w:val="Normal"/>
    <w:next w:val="Normal"/>
    <w:autoRedefine/>
    <w:uiPriority w:val="39"/>
    <w:unhideWhenUsed/>
    <w:rsid w:val="009C5C44"/>
    <w:pPr>
      <w:spacing w:after="100"/>
      <w:ind w:left="480"/>
    </w:pPr>
  </w:style>
  <w:style w:type="paragraph" w:styleId="TableofFigures">
    <w:name w:val="table of figures"/>
    <w:basedOn w:val="Normal"/>
    <w:next w:val="Normal"/>
    <w:uiPriority w:val="99"/>
    <w:unhideWhenUsed/>
    <w:rsid w:val="009C5C44"/>
  </w:style>
  <w:style w:type="table" w:customStyle="1" w:styleId="TableGrid1">
    <w:name w:val="Table Grid1"/>
    <w:basedOn w:val="TableNormal"/>
    <w:next w:val="TableGrid"/>
    <w:uiPriority w:val="39"/>
    <w:rsid w:val="00A1107A"/>
    <w:pPr>
      <w:widowControl/>
      <w:autoSpaceDE/>
      <w:autoSpaceDN/>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580191"/>
    <w:pPr>
      <w:widowControl/>
      <w:autoSpaceDE/>
      <w:autoSpaceDN/>
      <w:spacing w:after="100" w:line="259" w:lineRule="auto"/>
      <w:ind w:left="660"/>
      <w:jc w:val="left"/>
    </w:pPr>
    <w:rPr>
      <w:rFonts w:asciiTheme="minorHAnsi" w:eastAsiaTheme="minorEastAsia" w:hAnsiTheme="minorHAnsi" w:cstheme="minorBidi"/>
      <w:sz w:val="22"/>
      <w:lang w:val="en-ID" w:eastAsia="en-ID"/>
    </w:rPr>
  </w:style>
  <w:style w:type="paragraph" w:styleId="TOC5">
    <w:name w:val="toc 5"/>
    <w:basedOn w:val="Normal"/>
    <w:next w:val="Normal"/>
    <w:autoRedefine/>
    <w:uiPriority w:val="39"/>
    <w:unhideWhenUsed/>
    <w:rsid w:val="00580191"/>
    <w:pPr>
      <w:widowControl/>
      <w:autoSpaceDE/>
      <w:autoSpaceDN/>
      <w:spacing w:after="100" w:line="259" w:lineRule="auto"/>
      <w:ind w:left="880"/>
      <w:jc w:val="left"/>
    </w:pPr>
    <w:rPr>
      <w:rFonts w:asciiTheme="minorHAnsi" w:eastAsiaTheme="minorEastAsia" w:hAnsiTheme="minorHAnsi" w:cstheme="minorBidi"/>
      <w:sz w:val="22"/>
      <w:lang w:val="en-ID" w:eastAsia="en-ID"/>
    </w:rPr>
  </w:style>
  <w:style w:type="paragraph" w:styleId="TOC6">
    <w:name w:val="toc 6"/>
    <w:basedOn w:val="Normal"/>
    <w:next w:val="Normal"/>
    <w:autoRedefine/>
    <w:uiPriority w:val="39"/>
    <w:unhideWhenUsed/>
    <w:rsid w:val="00580191"/>
    <w:pPr>
      <w:widowControl/>
      <w:autoSpaceDE/>
      <w:autoSpaceDN/>
      <w:spacing w:after="100" w:line="259" w:lineRule="auto"/>
      <w:ind w:left="1100"/>
      <w:jc w:val="left"/>
    </w:pPr>
    <w:rPr>
      <w:rFonts w:asciiTheme="minorHAnsi" w:eastAsiaTheme="minorEastAsia" w:hAnsiTheme="minorHAnsi" w:cstheme="minorBidi"/>
      <w:sz w:val="22"/>
      <w:lang w:val="en-ID" w:eastAsia="en-ID"/>
    </w:rPr>
  </w:style>
  <w:style w:type="paragraph" w:styleId="TOC7">
    <w:name w:val="toc 7"/>
    <w:basedOn w:val="Normal"/>
    <w:next w:val="Normal"/>
    <w:autoRedefine/>
    <w:uiPriority w:val="39"/>
    <w:unhideWhenUsed/>
    <w:rsid w:val="00580191"/>
    <w:pPr>
      <w:widowControl/>
      <w:autoSpaceDE/>
      <w:autoSpaceDN/>
      <w:spacing w:after="100" w:line="259" w:lineRule="auto"/>
      <w:ind w:left="1320"/>
      <w:jc w:val="left"/>
    </w:pPr>
    <w:rPr>
      <w:rFonts w:asciiTheme="minorHAnsi" w:eastAsiaTheme="minorEastAsia" w:hAnsiTheme="minorHAnsi" w:cstheme="minorBidi"/>
      <w:sz w:val="22"/>
      <w:lang w:val="en-ID" w:eastAsia="en-ID"/>
    </w:rPr>
  </w:style>
  <w:style w:type="paragraph" w:styleId="TOC8">
    <w:name w:val="toc 8"/>
    <w:basedOn w:val="Normal"/>
    <w:next w:val="Normal"/>
    <w:autoRedefine/>
    <w:uiPriority w:val="39"/>
    <w:unhideWhenUsed/>
    <w:rsid w:val="00580191"/>
    <w:pPr>
      <w:widowControl/>
      <w:autoSpaceDE/>
      <w:autoSpaceDN/>
      <w:spacing w:after="100" w:line="259" w:lineRule="auto"/>
      <w:ind w:left="1540"/>
      <w:jc w:val="left"/>
    </w:pPr>
    <w:rPr>
      <w:rFonts w:asciiTheme="minorHAnsi" w:eastAsiaTheme="minorEastAsia" w:hAnsiTheme="minorHAnsi" w:cstheme="minorBidi"/>
      <w:sz w:val="22"/>
      <w:lang w:val="en-ID" w:eastAsia="en-ID"/>
    </w:rPr>
  </w:style>
  <w:style w:type="paragraph" w:styleId="TOC9">
    <w:name w:val="toc 9"/>
    <w:basedOn w:val="Normal"/>
    <w:next w:val="Normal"/>
    <w:autoRedefine/>
    <w:uiPriority w:val="39"/>
    <w:unhideWhenUsed/>
    <w:rsid w:val="00580191"/>
    <w:pPr>
      <w:widowControl/>
      <w:autoSpaceDE/>
      <w:autoSpaceDN/>
      <w:spacing w:after="100" w:line="259" w:lineRule="auto"/>
      <w:ind w:left="1760"/>
      <w:jc w:val="left"/>
    </w:pPr>
    <w:rPr>
      <w:rFonts w:asciiTheme="minorHAnsi" w:eastAsiaTheme="minorEastAsia" w:hAnsiTheme="minorHAnsi" w:cstheme="minorBidi"/>
      <w:sz w:val="22"/>
      <w:lang w:val="en-ID" w:eastAsia="en-ID"/>
    </w:rPr>
  </w:style>
  <w:style w:type="character" w:styleId="UnresolvedMention">
    <w:name w:val="Unresolved Mention"/>
    <w:basedOn w:val="DefaultParagraphFont"/>
    <w:uiPriority w:val="99"/>
    <w:semiHidden/>
    <w:unhideWhenUsed/>
    <w:rsid w:val="00580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4002">
      <w:bodyDiv w:val="1"/>
      <w:marLeft w:val="0"/>
      <w:marRight w:val="0"/>
      <w:marTop w:val="0"/>
      <w:marBottom w:val="0"/>
      <w:divBdr>
        <w:top w:val="none" w:sz="0" w:space="0" w:color="auto"/>
        <w:left w:val="none" w:sz="0" w:space="0" w:color="auto"/>
        <w:bottom w:val="none" w:sz="0" w:space="0" w:color="auto"/>
        <w:right w:val="none" w:sz="0" w:space="0" w:color="auto"/>
      </w:divBdr>
    </w:div>
    <w:div w:id="267350170">
      <w:bodyDiv w:val="1"/>
      <w:marLeft w:val="0"/>
      <w:marRight w:val="0"/>
      <w:marTop w:val="0"/>
      <w:marBottom w:val="0"/>
      <w:divBdr>
        <w:top w:val="none" w:sz="0" w:space="0" w:color="auto"/>
        <w:left w:val="none" w:sz="0" w:space="0" w:color="auto"/>
        <w:bottom w:val="none" w:sz="0" w:space="0" w:color="auto"/>
        <w:right w:val="none" w:sz="0" w:space="0" w:color="auto"/>
      </w:divBdr>
    </w:div>
    <w:div w:id="290524821">
      <w:bodyDiv w:val="1"/>
      <w:marLeft w:val="0"/>
      <w:marRight w:val="0"/>
      <w:marTop w:val="0"/>
      <w:marBottom w:val="0"/>
      <w:divBdr>
        <w:top w:val="none" w:sz="0" w:space="0" w:color="auto"/>
        <w:left w:val="none" w:sz="0" w:space="0" w:color="auto"/>
        <w:bottom w:val="none" w:sz="0" w:space="0" w:color="auto"/>
        <w:right w:val="none" w:sz="0" w:space="0" w:color="auto"/>
      </w:divBdr>
    </w:div>
    <w:div w:id="377827021">
      <w:bodyDiv w:val="1"/>
      <w:marLeft w:val="0"/>
      <w:marRight w:val="0"/>
      <w:marTop w:val="0"/>
      <w:marBottom w:val="0"/>
      <w:divBdr>
        <w:top w:val="none" w:sz="0" w:space="0" w:color="auto"/>
        <w:left w:val="none" w:sz="0" w:space="0" w:color="auto"/>
        <w:bottom w:val="none" w:sz="0" w:space="0" w:color="auto"/>
        <w:right w:val="none" w:sz="0" w:space="0" w:color="auto"/>
      </w:divBdr>
    </w:div>
    <w:div w:id="420835841">
      <w:bodyDiv w:val="1"/>
      <w:marLeft w:val="0"/>
      <w:marRight w:val="0"/>
      <w:marTop w:val="0"/>
      <w:marBottom w:val="0"/>
      <w:divBdr>
        <w:top w:val="none" w:sz="0" w:space="0" w:color="auto"/>
        <w:left w:val="none" w:sz="0" w:space="0" w:color="auto"/>
        <w:bottom w:val="none" w:sz="0" w:space="0" w:color="auto"/>
        <w:right w:val="none" w:sz="0" w:space="0" w:color="auto"/>
      </w:divBdr>
      <w:divsChild>
        <w:div w:id="466094291">
          <w:marLeft w:val="0"/>
          <w:marRight w:val="0"/>
          <w:marTop w:val="0"/>
          <w:marBottom w:val="0"/>
          <w:divBdr>
            <w:top w:val="none" w:sz="0" w:space="0" w:color="auto"/>
            <w:left w:val="none" w:sz="0" w:space="0" w:color="auto"/>
            <w:bottom w:val="none" w:sz="0" w:space="0" w:color="auto"/>
            <w:right w:val="none" w:sz="0" w:space="0" w:color="auto"/>
          </w:divBdr>
          <w:divsChild>
            <w:div w:id="1670714450">
              <w:marLeft w:val="0"/>
              <w:marRight w:val="0"/>
              <w:marTop w:val="0"/>
              <w:marBottom w:val="0"/>
              <w:divBdr>
                <w:top w:val="none" w:sz="0" w:space="0" w:color="auto"/>
                <w:left w:val="none" w:sz="0" w:space="0" w:color="auto"/>
                <w:bottom w:val="none" w:sz="0" w:space="0" w:color="auto"/>
                <w:right w:val="none" w:sz="0" w:space="0" w:color="auto"/>
              </w:divBdr>
              <w:divsChild>
                <w:div w:id="81225054">
                  <w:marLeft w:val="0"/>
                  <w:marRight w:val="0"/>
                  <w:marTop w:val="0"/>
                  <w:marBottom w:val="0"/>
                  <w:divBdr>
                    <w:top w:val="none" w:sz="0" w:space="0" w:color="auto"/>
                    <w:left w:val="none" w:sz="0" w:space="0" w:color="auto"/>
                    <w:bottom w:val="none" w:sz="0" w:space="0" w:color="auto"/>
                    <w:right w:val="none" w:sz="0" w:space="0" w:color="auto"/>
                  </w:divBdr>
                  <w:divsChild>
                    <w:div w:id="1314263448">
                      <w:marLeft w:val="0"/>
                      <w:marRight w:val="0"/>
                      <w:marTop w:val="0"/>
                      <w:marBottom w:val="0"/>
                      <w:divBdr>
                        <w:top w:val="none" w:sz="0" w:space="0" w:color="auto"/>
                        <w:left w:val="none" w:sz="0" w:space="0" w:color="auto"/>
                        <w:bottom w:val="none" w:sz="0" w:space="0" w:color="auto"/>
                        <w:right w:val="none" w:sz="0" w:space="0" w:color="auto"/>
                      </w:divBdr>
                      <w:divsChild>
                        <w:div w:id="634678288">
                          <w:marLeft w:val="0"/>
                          <w:marRight w:val="0"/>
                          <w:marTop w:val="0"/>
                          <w:marBottom w:val="0"/>
                          <w:divBdr>
                            <w:top w:val="none" w:sz="0" w:space="0" w:color="auto"/>
                            <w:left w:val="none" w:sz="0" w:space="0" w:color="auto"/>
                            <w:bottom w:val="none" w:sz="0" w:space="0" w:color="auto"/>
                            <w:right w:val="none" w:sz="0" w:space="0" w:color="auto"/>
                          </w:divBdr>
                          <w:divsChild>
                            <w:div w:id="971709907">
                              <w:marLeft w:val="0"/>
                              <w:marRight w:val="0"/>
                              <w:marTop w:val="0"/>
                              <w:marBottom w:val="0"/>
                              <w:divBdr>
                                <w:top w:val="none" w:sz="0" w:space="0" w:color="auto"/>
                                <w:left w:val="none" w:sz="0" w:space="0" w:color="auto"/>
                                <w:bottom w:val="none" w:sz="0" w:space="0" w:color="auto"/>
                                <w:right w:val="none" w:sz="0" w:space="0" w:color="auto"/>
                              </w:divBdr>
                              <w:divsChild>
                                <w:div w:id="149294569">
                                  <w:marLeft w:val="0"/>
                                  <w:marRight w:val="0"/>
                                  <w:marTop w:val="0"/>
                                  <w:marBottom w:val="0"/>
                                  <w:divBdr>
                                    <w:top w:val="none" w:sz="0" w:space="0" w:color="auto"/>
                                    <w:left w:val="none" w:sz="0" w:space="0" w:color="auto"/>
                                    <w:bottom w:val="none" w:sz="0" w:space="0" w:color="auto"/>
                                    <w:right w:val="none" w:sz="0" w:space="0" w:color="auto"/>
                                  </w:divBdr>
                                  <w:divsChild>
                                    <w:div w:id="703746701">
                                      <w:marLeft w:val="0"/>
                                      <w:marRight w:val="0"/>
                                      <w:marTop w:val="0"/>
                                      <w:marBottom w:val="0"/>
                                      <w:divBdr>
                                        <w:top w:val="none" w:sz="0" w:space="0" w:color="auto"/>
                                        <w:left w:val="none" w:sz="0" w:space="0" w:color="auto"/>
                                        <w:bottom w:val="none" w:sz="0" w:space="0" w:color="auto"/>
                                        <w:right w:val="none" w:sz="0" w:space="0" w:color="auto"/>
                                      </w:divBdr>
                                      <w:divsChild>
                                        <w:div w:id="636494438">
                                          <w:marLeft w:val="0"/>
                                          <w:marRight w:val="0"/>
                                          <w:marTop w:val="0"/>
                                          <w:marBottom w:val="0"/>
                                          <w:divBdr>
                                            <w:top w:val="none" w:sz="0" w:space="0" w:color="auto"/>
                                            <w:left w:val="none" w:sz="0" w:space="0" w:color="auto"/>
                                            <w:bottom w:val="none" w:sz="0" w:space="0" w:color="auto"/>
                                            <w:right w:val="none" w:sz="0" w:space="0" w:color="auto"/>
                                          </w:divBdr>
                                          <w:divsChild>
                                            <w:div w:id="1208688006">
                                              <w:marLeft w:val="0"/>
                                              <w:marRight w:val="0"/>
                                              <w:marTop w:val="0"/>
                                              <w:marBottom w:val="0"/>
                                              <w:divBdr>
                                                <w:top w:val="none" w:sz="0" w:space="0" w:color="auto"/>
                                                <w:left w:val="none" w:sz="0" w:space="0" w:color="auto"/>
                                                <w:bottom w:val="none" w:sz="0" w:space="0" w:color="auto"/>
                                                <w:right w:val="none" w:sz="0" w:space="0" w:color="auto"/>
                                              </w:divBdr>
                                              <w:divsChild>
                                                <w:div w:id="356850939">
                                                  <w:marLeft w:val="0"/>
                                                  <w:marRight w:val="0"/>
                                                  <w:marTop w:val="0"/>
                                                  <w:marBottom w:val="0"/>
                                                  <w:divBdr>
                                                    <w:top w:val="none" w:sz="0" w:space="0" w:color="auto"/>
                                                    <w:left w:val="none" w:sz="0" w:space="0" w:color="auto"/>
                                                    <w:bottom w:val="none" w:sz="0" w:space="0" w:color="auto"/>
                                                    <w:right w:val="none" w:sz="0" w:space="0" w:color="auto"/>
                                                  </w:divBdr>
                                                  <w:divsChild>
                                                    <w:div w:id="1968703963">
                                                      <w:marLeft w:val="0"/>
                                                      <w:marRight w:val="0"/>
                                                      <w:marTop w:val="0"/>
                                                      <w:marBottom w:val="0"/>
                                                      <w:divBdr>
                                                        <w:top w:val="none" w:sz="0" w:space="0" w:color="auto"/>
                                                        <w:left w:val="none" w:sz="0" w:space="0" w:color="auto"/>
                                                        <w:bottom w:val="none" w:sz="0" w:space="0" w:color="auto"/>
                                                        <w:right w:val="none" w:sz="0" w:space="0" w:color="auto"/>
                                                      </w:divBdr>
                                                      <w:divsChild>
                                                        <w:div w:id="155194269">
                                                          <w:marLeft w:val="0"/>
                                                          <w:marRight w:val="0"/>
                                                          <w:marTop w:val="0"/>
                                                          <w:marBottom w:val="0"/>
                                                          <w:divBdr>
                                                            <w:top w:val="none" w:sz="0" w:space="0" w:color="auto"/>
                                                            <w:left w:val="none" w:sz="0" w:space="0" w:color="auto"/>
                                                            <w:bottom w:val="none" w:sz="0" w:space="0" w:color="auto"/>
                                                            <w:right w:val="none" w:sz="0" w:space="0" w:color="auto"/>
                                                          </w:divBdr>
                                                          <w:divsChild>
                                                            <w:div w:id="1177767198">
                                                              <w:marLeft w:val="0"/>
                                                              <w:marRight w:val="0"/>
                                                              <w:marTop w:val="0"/>
                                                              <w:marBottom w:val="0"/>
                                                              <w:divBdr>
                                                                <w:top w:val="none" w:sz="0" w:space="0" w:color="auto"/>
                                                                <w:left w:val="none" w:sz="0" w:space="0" w:color="auto"/>
                                                                <w:bottom w:val="none" w:sz="0" w:space="0" w:color="auto"/>
                                                                <w:right w:val="none" w:sz="0" w:space="0" w:color="auto"/>
                                                              </w:divBdr>
                                                              <w:divsChild>
                                                                <w:div w:id="871917337">
                                                                  <w:marLeft w:val="0"/>
                                                                  <w:marRight w:val="0"/>
                                                                  <w:marTop w:val="0"/>
                                                                  <w:marBottom w:val="0"/>
                                                                  <w:divBdr>
                                                                    <w:top w:val="none" w:sz="0" w:space="0" w:color="auto"/>
                                                                    <w:left w:val="none" w:sz="0" w:space="0" w:color="auto"/>
                                                                    <w:bottom w:val="none" w:sz="0" w:space="0" w:color="auto"/>
                                                                    <w:right w:val="none" w:sz="0" w:space="0" w:color="auto"/>
                                                                  </w:divBdr>
                                                                  <w:divsChild>
                                                                    <w:div w:id="1771778456">
                                                                      <w:marLeft w:val="0"/>
                                                                      <w:marRight w:val="0"/>
                                                                      <w:marTop w:val="0"/>
                                                                      <w:marBottom w:val="0"/>
                                                                      <w:divBdr>
                                                                        <w:top w:val="none" w:sz="0" w:space="0" w:color="auto"/>
                                                                        <w:left w:val="none" w:sz="0" w:space="0" w:color="auto"/>
                                                                        <w:bottom w:val="none" w:sz="0" w:space="0" w:color="auto"/>
                                                                        <w:right w:val="none" w:sz="0" w:space="0" w:color="auto"/>
                                                                      </w:divBdr>
                                                                      <w:divsChild>
                                                                        <w:div w:id="16532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0097725">
      <w:bodyDiv w:val="1"/>
      <w:marLeft w:val="0"/>
      <w:marRight w:val="0"/>
      <w:marTop w:val="0"/>
      <w:marBottom w:val="0"/>
      <w:divBdr>
        <w:top w:val="none" w:sz="0" w:space="0" w:color="auto"/>
        <w:left w:val="none" w:sz="0" w:space="0" w:color="auto"/>
        <w:bottom w:val="none" w:sz="0" w:space="0" w:color="auto"/>
        <w:right w:val="none" w:sz="0" w:space="0" w:color="auto"/>
      </w:divBdr>
    </w:div>
    <w:div w:id="657609954">
      <w:bodyDiv w:val="1"/>
      <w:marLeft w:val="0"/>
      <w:marRight w:val="0"/>
      <w:marTop w:val="0"/>
      <w:marBottom w:val="0"/>
      <w:divBdr>
        <w:top w:val="none" w:sz="0" w:space="0" w:color="auto"/>
        <w:left w:val="none" w:sz="0" w:space="0" w:color="auto"/>
        <w:bottom w:val="none" w:sz="0" w:space="0" w:color="auto"/>
        <w:right w:val="none" w:sz="0" w:space="0" w:color="auto"/>
      </w:divBdr>
      <w:divsChild>
        <w:div w:id="1339191078">
          <w:marLeft w:val="0"/>
          <w:marRight w:val="0"/>
          <w:marTop w:val="0"/>
          <w:marBottom w:val="0"/>
          <w:divBdr>
            <w:top w:val="none" w:sz="0" w:space="0" w:color="auto"/>
            <w:left w:val="none" w:sz="0" w:space="0" w:color="auto"/>
            <w:bottom w:val="none" w:sz="0" w:space="0" w:color="auto"/>
            <w:right w:val="none" w:sz="0" w:space="0" w:color="auto"/>
          </w:divBdr>
          <w:divsChild>
            <w:div w:id="720980042">
              <w:marLeft w:val="0"/>
              <w:marRight w:val="0"/>
              <w:marTop w:val="0"/>
              <w:marBottom w:val="0"/>
              <w:divBdr>
                <w:top w:val="none" w:sz="0" w:space="0" w:color="auto"/>
                <w:left w:val="none" w:sz="0" w:space="0" w:color="auto"/>
                <w:bottom w:val="none" w:sz="0" w:space="0" w:color="auto"/>
                <w:right w:val="none" w:sz="0" w:space="0" w:color="auto"/>
              </w:divBdr>
              <w:divsChild>
                <w:div w:id="1708523628">
                  <w:marLeft w:val="0"/>
                  <w:marRight w:val="0"/>
                  <w:marTop w:val="0"/>
                  <w:marBottom w:val="0"/>
                  <w:divBdr>
                    <w:top w:val="none" w:sz="0" w:space="0" w:color="auto"/>
                    <w:left w:val="none" w:sz="0" w:space="0" w:color="auto"/>
                    <w:bottom w:val="none" w:sz="0" w:space="0" w:color="auto"/>
                    <w:right w:val="none" w:sz="0" w:space="0" w:color="auto"/>
                  </w:divBdr>
                  <w:divsChild>
                    <w:div w:id="1965960808">
                      <w:marLeft w:val="0"/>
                      <w:marRight w:val="0"/>
                      <w:marTop w:val="0"/>
                      <w:marBottom w:val="0"/>
                      <w:divBdr>
                        <w:top w:val="none" w:sz="0" w:space="0" w:color="auto"/>
                        <w:left w:val="none" w:sz="0" w:space="0" w:color="auto"/>
                        <w:bottom w:val="none" w:sz="0" w:space="0" w:color="auto"/>
                        <w:right w:val="none" w:sz="0" w:space="0" w:color="auto"/>
                      </w:divBdr>
                      <w:divsChild>
                        <w:div w:id="853035897">
                          <w:marLeft w:val="0"/>
                          <w:marRight w:val="0"/>
                          <w:marTop w:val="0"/>
                          <w:marBottom w:val="0"/>
                          <w:divBdr>
                            <w:top w:val="none" w:sz="0" w:space="0" w:color="auto"/>
                            <w:left w:val="none" w:sz="0" w:space="0" w:color="auto"/>
                            <w:bottom w:val="none" w:sz="0" w:space="0" w:color="auto"/>
                            <w:right w:val="none" w:sz="0" w:space="0" w:color="auto"/>
                          </w:divBdr>
                          <w:divsChild>
                            <w:div w:id="72046993">
                              <w:marLeft w:val="0"/>
                              <w:marRight w:val="0"/>
                              <w:marTop w:val="0"/>
                              <w:marBottom w:val="0"/>
                              <w:divBdr>
                                <w:top w:val="none" w:sz="0" w:space="0" w:color="auto"/>
                                <w:left w:val="none" w:sz="0" w:space="0" w:color="auto"/>
                                <w:bottom w:val="none" w:sz="0" w:space="0" w:color="auto"/>
                                <w:right w:val="none" w:sz="0" w:space="0" w:color="auto"/>
                              </w:divBdr>
                              <w:divsChild>
                                <w:div w:id="751662245">
                                  <w:marLeft w:val="0"/>
                                  <w:marRight w:val="0"/>
                                  <w:marTop w:val="0"/>
                                  <w:marBottom w:val="0"/>
                                  <w:divBdr>
                                    <w:top w:val="none" w:sz="0" w:space="0" w:color="auto"/>
                                    <w:left w:val="none" w:sz="0" w:space="0" w:color="auto"/>
                                    <w:bottom w:val="none" w:sz="0" w:space="0" w:color="auto"/>
                                    <w:right w:val="none" w:sz="0" w:space="0" w:color="auto"/>
                                  </w:divBdr>
                                  <w:divsChild>
                                    <w:div w:id="1556047967">
                                      <w:marLeft w:val="0"/>
                                      <w:marRight w:val="0"/>
                                      <w:marTop w:val="0"/>
                                      <w:marBottom w:val="0"/>
                                      <w:divBdr>
                                        <w:top w:val="none" w:sz="0" w:space="0" w:color="auto"/>
                                        <w:left w:val="none" w:sz="0" w:space="0" w:color="auto"/>
                                        <w:bottom w:val="none" w:sz="0" w:space="0" w:color="auto"/>
                                        <w:right w:val="none" w:sz="0" w:space="0" w:color="auto"/>
                                      </w:divBdr>
                                      <w:divsChild>
                                        <w:div w:id="53739752">
                                          <w:marLeft w:val="0"/>
                                          <w:marRight w:val="0"/>
                                          <w:marTop w:val="0"/>
                                          <w:marBottom w:val="0"/>
                                          <w:divBdr>
                                            <w:top w:val="none" w:sz="0" w:space="0" w:color="auto"/>
                                            <w:left w:val="none" w:sz="0" w:space="0" w:color="auto"/>
                                            <w:bottom w:val="none" w:sz="0" w:space="0" w:color="auto"/>
                                            <w:right w:val="none" w:sz="0" w:space="0" w:color="auto"/>
                                          </w:divBdr>
                                          <w:divsChild>
                                            <w:div w:id="2134051560">
                                              <w:marLeft w:val="0"/>
                                              <w:marRight w:val="0"/>
                                              <w:marTop w:val="0"/>
                                              <w:marBottom w:val="0"/>
                                              <w:divBdr>
                                                <w:top w:val="none" w:sz="0" w:space="0" w:color="auto"/>
                                                <w:left w:val="none" w:sz="0" w:space="0" w:color="auto"/>
                                                <w:bottom w:val="none" w:sz="0" w:space="0" w:color="auto"/>
                                                <w:right w:val="none" w:sz="0" w:space="0" w:color="auto"/>
                                              </w:divBdr>
                                              <w:divsChild>
                                                <w:div w:id="1364361065">
                                                  <w:marLeft w:val="0"/>
                                                  <w:marRight w:val="0"/>
                                                  <w:marTop w:val="0"/>
                                                  <w:marBottom w:val="0"/>
                                                  <w:divBdr>
                                                    <w:top w:val="none" w:sz="0" w:space="0" w:color="auto"/>
                                                    <w:left w:val="none" w:sz="0" w:space="0" w:color="auto"/>
                                                    <w:bottom w:val="none" w:sz="0" w:space="0" w:color="auto"/>
                                                    <w:right w:val="none" w:sz="0" w:space="0" w:color="auto"/>
                                                  </w:divBdr>
                                                  <w:divsChild>
                                                    <w:div w:id="1804419896">
                                                      <w:marLeft w:val="0"/>
                                                      <w:marRight w:val="0"/>
                                                      <w:marTop w:val="0"/>
                                                      <w:marBottom w:val="0"/>
                                                      <w:divBdr>
                                                        <w:top w:val="none" w:sz="0" w:space="0" w:color="auto"/>
                                                        <w:left w:val="none" w:sz="0" w:space="0" w:color="auto"/>
                                                        <w:bottom w:val="none" w:sz="0" w:space="0" w:color="auto"/>
                                                        <w:right w:val="none" w:sz="0" w:space="0" w:color="auto"/>
                                                      </w:divBdr>
                                                      <w:divsChild>
                                                        <w:div w:id="290405089">
                                                          <w:marLeft w:val="0"/>
                                                          <w:marRight w:val="0"/>
                                                          <w:marTop w:val="0"/>
                                                          <w:marBottom w:val="0"/>
                                                          <w:divBdr>
                                                            <w:top w:val="none" w:sz="0" w:space="0" w:color="auto"/>
                                                            <w:left w:val="none" w:sz="0" w:space="0" w:color="auto"/>
                                                            <w:bottom w:val="none" w:sz="0" w:space="0" w:color="auto"/>
                                                            <w:right w:val="none" w:sz="0" w:space="0" w:color="auto"/>
                                                          </w:divBdr>
                                                          <w:divsChild>
                                                            <w:div w:id="1897861345">
                                                              <w:marLeft w:val="0"/>
                                                              <w:marRight w:val="0"/>
                                                              <w:marTop w:val="0"/>
                                                              <w:marBottom w:val="0"/>
                                                              <w:divBdr>
                                                                <w:top w:val="none" w:sz="0" w:space="0" w:color="auto"/>
                                                                <w:left w:val="none" w:sz="0" w:space="0" w:color="auto"/>
                                                                <w:bottom w:val="none" w:sz="0" w:space="0" w:color="auto"/>
                                                                <w:right w:val="none" w:sz="0" w:space="0" w:color="auto"/>
                                                              </w:divBdr>
                                                              <w:divsChild>
                                                                <w:div w:id="785388688">
                                                                  <w:marLeft w:val="0"/>
                                                                  <w:marRight w:val="0"/>
                                                                  <w:marTop w:val="0"/>
                                                                  <w:marBottom w:val="0"/>
                                                                  <w:divBdr>
                                                                    <w:top w:val="none" w:sz="0" w:space="0" w:color="auto"/>
                                                                    <w:left w:val="none" w:sz="0" w:space="0" w:color="auto"/>
                                                                    <w:bottom w:val="none" w:sz="0" w:space="0" w:color="auto"/>
                                                                    <w:right w:val="none" w:sz="0" w:space="0" w:color="auto"/>
                                                                  </w:divBdr>
                                                                  <w:divsChild>
                                                                    <w:div w:id="1818834415">
                                                                      <w:marLeft w:val="0"/>
                                                                      <w:marRight w:val="0"/>
                                                                      <w:marTop w:val="0"/>
                                                                      <w:marBottom w:val="0"/>
                                                                      <w:divBdr>
                                                                        <w:top w:val="none" w:sz="0" w:space="0" w:color="auto"/>
                                                                        <w:left w:val="none" w:sz="0" w:space="0" w:color="auto"/>
                                                                        <w:bottom w:val="none" w:sz="0" w:space="0" w:color="auto"/>
                                                                        <w:right w:val="none" w:sz="0" w:space="0" w:color="auto"/>
                                                                      </w:divBdr>
                                                                      <w:divsChild>
                                                                        <w:div w:id="96023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7167031">
      <w:bodyDiv w:val="1"/>
      <w:marLeft w:val="0"/>
      <w:marRight w:val="0"/>
      <w:marTop w:val="0"/>
      <w:marBottom w:val="0"/>
      <w:divBdr>
        <w:top w:val="none" w:sz="0" w:space="0" w:color="auto"/>
        <w:left w:val="none" w:sz="0" w:space="0" w:color="auto"/>
        <w:bottom w:val="none" w:sz="0" w:space="0" w:color="auto"/>
        <w:right w:val="none" w:sz="0" w:space="0" w:color="auto"/>
      </w:divBdr>
    </w:div>
    <w:div w:id="812142540">
      <w:bodyDiv w:val="1"/>
      <w:marLeft w:val="0"/>
      <w:marRight w:val="0"/>
      <w:marTop w:val="0"/>
      <w:marBottom w:val="0"/>
      <w:divBdr>
        <w:top w:val="none" w:sz="0" w:space="0" w:color="auto"/>
        <w:left w:val="none" w:sz="0" w:space="0" w:color="auto"/>
        <w:bottom w:val="none" w:sz="0" w:space="0" w:color="auto"/>
        <w:right w:val="none" w:sz="0" w:space="0" w:color="auto"/>
      </w:divBdr>
    </w:div>
    <w:div w:id="1117024891">
      <w:bodyDiv w:val="1"/>
      <w:marLeft w:val="0"/>
      <w:marRight w:val="0"/>
      <w:marTop w:val="0"/>
      <w:marBottom w:val="0"/>
      <w:divBdr>
        <w:top w:val="none" w:sz="0" w:space="0" w:color="auto"/>
        <w:left w:val="none" w:sz="0" w:space="0" w:color="auto"/>
        <w:bottom w:val="none" w:sz="0" w:space="0" w:color="auto"/>
        <w:right w:val="none" w:sz="0" w:space="0" w:color="auto"/>
      </w:divBdr>
    </w:div>
    <w:div w:id="1146824938">
      <w:bodyDiv w:val="1"/>
      <w:marLeft w:val="0"/>
      <w:marRight w:val="0"/>
      <w:marTop w:val="0"/>
      <w:marBottom w:val="0"/>
      <w:divBdr>
        <w:top w:val="none" w:sz="0" w:space="0" w:color="auto"/>
        <w:left w:val="none" w:sz="0" w:space="0" w:color="auto"/>
        <w:bottom w:val="none" w:sz="0" w:space="0" w:color="auto"/>
        <w:right w:val="none" w:sz="0" w:space="0" w:color="auto"/>
      </w:divBdr>
    </w:div>
    <w:div w:id="1416318495">
      <w:bodyDiv w:val="1"/>
      <w:marLeft w:val="0"/>
      <w:marRight w:val="0"/>
      <w:marTop w:val="0"/>
      <w:marBottom w:val="0"/>
      <w:divBdr>
        <w:top w:val="none" w:sz="0" w:space="0" w:color="auto"/>
        <w:left w:val="none" w:sz="0" w:space="0" w:color="auto"/>
        <w:bottom w:val="none" w:sz="0" w:space="0" w:color="auto"/>
        <w:right w:val="none" w:sz="0" w:space="0" w:color="auto"/>
      </w:divBdr>
    </w:div>
    <w:div w:id="1445729332">
      <w:bodyDiv w:val="1"/>
      <w:marLeft w:val="0"/>
      <w:marRight w:val="0"/>
      <w:marTop w:val="0"/>
      <w:marBottom w:val="0"/>
      <w:divBdr>
        <w:top w:val="none" w:sz="0" w:space="0" w:color="auto"/>
        <w:left w:val="none" w:sz="0" w:space="0" w:color="auto"/>
        <w:bottom w:val="none" w:sz="0" w:space="0" w:color="auto"/>
        <w:right w:val="none" w:sz="0" w:space="0" w:color="auto"/>
      </w:divBdr>
    </w:div>
    <w:div w:id="1460755756">
      <w:bodyDiv w:val="1"/>
      <w:marLeft w:val="0"/>
      <w:marRight w:val="0"/>
      <w:marTop w:val="0"/>
      <w:marBottom w:val="0"/>
      <w:divBdr>
        <w:top w:val="none" w:sz="0" w:space="0" w:color="auto"/>
        <w:left w:val="none" w:sz="0" w:space="0" w:color="auto"/>
        <w:bottom w:val="none" w:sz="0" w:space="0" w:color="auto"/>
        <w:right w:val="none" w:sz="0" w:space="0" w:color="auto"/>
      </w:divBdr>
    </w:div>
    <w:div w:id="1470248388">
      <w:bodyDiv w:val="1"/>
      <w:marLeft w:val="0"/>
      <w:marRight w:val="0"/>
      <w:marTop w:val="0"/>
      <w:marBottom w:val="0"/>
      <w:divBdr>
        <w:top w:val="none" w:sz="0" w:space="0" w:color="auto"/>
        <w:left w:val="none" w:sz="0" w:space="0" w:color="auto"/>
        <w:bottom w:val="none" w:sz="0" w:space="0" w:color="auto"/>
        <w:right w:val="none" w:sz="0" w:space="0" w:color="auto"/>
      </w:divBdr>
      <w:divsChild>
        <w:div w:id="1013072769">
          <w:marLeft w:val="480"/>
          <w:marRight w:val="0"/>
          <w:marTop w:val="0"/>
          <w:marBottom w:val="0"/>
          <w:divBdr>
            <w:top w:val="none" w:sz="0" w:space="0" w:color="auto"/>
            <w:left w:val="none" w:sz="0" w:space="0" w:color="auto"/>
            <w:bottom w:val="none" w:sz="0" w:space="0" w:color="auto"/>
            <w:right w:val="none" w:sz="0" w:space="0" w:color="auto"/>
          </w:divBdr>
        </w:div>
      </w:divsChild>
    </w:div>
    <w:div w:id="1525704946">
      <w:bodyDiv w:val="1"/>
      <w:marLeft w:val="0"/>
      <w:marRight w:val="0"/>
      <w:marTop w:val="0"/>
      <w:marBottom w:val="0"/>
      <w:divBdr>
        <w:top w:val="none" w:sz="0" w:space="0" w:color="auto"/>
        <w:left w:val="none" w:sz="0" w:space="0" w:color="auto"/>
        <w:bottom w:val="none" w:sz="0" w:space="0" w:color="auto"/>
        <w:right w:val="none" w:sz="0" w:space="0" w:color="auto"/>
      </w:divBdr>
    </w:div>
    <w:div w:id="1604066314">
      <w:bodyDiv w:val="1"/>
      <w:marLeft w:val="0"/>
      <w:marRight w:val="0"/>
      <w:marTop w:val="0"/>
      <w:marBottom w:val="0"/>
      <w:divBdr>
        <w:top w:val="none" w:sz="0" w:space="0" w:color="auto"/>
        <w:left w:val="none" w:sz="0" w:space="0" w:color="auto"/>
        <w:bottom w:val="none" w:sz="0" w:space="0" w:color="auto"/>
        <w:right w:val="none" w:sz="0" w:space="0" w:color="auto"/>
      </w:divBdr>
    </w:div>
    <w:div w:id="1632127987">
      <w:bodyDiv w:val="1"/>
      <w:marLeft w:val="0"/>
      <w:marRight w:val="0"/>
      <w:marTop w:val="0"/>
      <w:marBottom w:val="0"/>
      <w:divBdr>
        <w:top w:val="none" w:sz="0" w:space="0" w:color="auto"/>
        <w:left w:val="none" w:sz="0" w:space="0" w:color="auto"/>
        <w:bottom w:val="none" w:sz="0" w:space="0" w:color="auto"/>
        <w:right w:val="none" w:sz="0" w:space="0" w:color="auto"/>
      </w:divBdr>
    </w:div>
    <w:div w:id="1724212132">
      <w:bodyDiv w:val="1"/>
      <w:marLeft w:val="0"/>
      <w:marRight w:val="0"/>
      <w:marTop w:val="0"/>
      <w:marBottom w:val="0"/>
      <w:divBdr>
        <w:top w:val="none" w:sz="0" w:space="0" w:color="auto"/>
        <w:left w:val="none" w:sz="0" w:space="0" w:color="auto"/>
        <w:bottom w:val="none" w:sz="0" w:space="0" w:color="auto"/>
        <w:right w:val="none" w:sz="0" w:space="0" w:color="auto"/>
      </w:divBdr>
    </w:div>
    <w:div w:id="1875146325">
      <w:bodyDiv w:val="1"/>
      <w:marLeft w:val="0"/>
      <w:marRight w:val="0"/>
      <w:marTop w:val="0"/>
      <w:marBottom w:val="0"/>
      <w:divBdr>
        <w:top w:val="none" w:sz="0" w:space="0" w:color="auto"/>
        <w:left w:val="none" w:sz="0" w:space="0" w:color="auto"/>
        <w:bottom w:val="none" w:sz="0" w:space="0" w:color="auto"/>
        <w:right w:val="none" w:sz="0" w:space="0" w:color="auto"/>
      </w:divBdr>
    </w:div>
    <w:div w:id="204848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1D3563-DEDA-46B7-AC44-A48A273F013D}">
  <we:reference id="wa104382081" version="1.55.1.0" store="en-US" storeType="OMEX"/>
  <we:alternateReferences>
    <we:reference id="WA104382081" version="1.55.1.0" store="" storeType="OMEX"/>
  </we:alternateReferences>
  <we:properties>
    <we:property name="MENDELEY_CITATIONS" value="[{&quot;citationID&quot;:&quot;MENDELEY_CITATION_42d78d09-97a0-46ae-b799-69fdbbfc8808&quot;,&quot;properties&quot;:{&quot;noteIndex&quot;:0},&quot;isEdited&quot;:false,&quot;manualOverride&quot;:{&quot;isManuallyOverridden&quot;:false,&quot;citeprocText&quot;:&quot;(Freeman et al., 2021)&quot;,&quot;manualOverrideText&quot;:&quot;&quot;},&quot;citationTag&quot;:&quot;MENDELEY_CITATION_v3_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&quot;,&quot;citationItems&quot;:[{&quot;id&quot;:&quot;b3a94aac-9f54-37f1-a179-8bdfb34f828e&quot;,&quot;itemData&quot;:{&quot;type&quot;:&quot;article-journal&quot;,&quot;id&quot;:&quot;b3a94aac-9f54-37f1-a179-8bdfb34f828e&quot;,&quot;title&quot;:&quot;Stakeholder theory and the resource-based view of the firm&quot;,&quot;author&quot;:[{&quot;family&quot;:&quot;Freeman&quot;,&quot;given&quot;:&quot;R Edward&quot;,&quot;parse-names&quot;:false,&quot;dropping-particle&quot;:&quot;&quot;,&quot;non-dropping-particle&quot;:&quot;&quot;},{&quot;family&quot;:&quot;Dmytriyev&quot;,&quot;given&quot;:&quot;Sergiy D&quot;,&quot;parse-names&quot;:false,&quot;dropping-particle&quot;:&quot;&quot;,&quot;non-dropping-particle&quot;:&quot;&quot;},{&quot;family&quot;:&quot;Phillips&quot;,&quot;given&quot;:&quot;Robert A&quot;,&quot;parse-names&quot;:false,&quot;dropping-particle&quot;:&quot;&quot;,&quot;non-dropping-particle&quot;:&quot;&quot;}],&quot;container-title&quot;:&quot;Journal of management&quot;,&quot;container-title-short&quot;:&quot;J. Manage.&quot;,&quot;ISSN&quot;:&quot;0149-2063&quot;,&quot;issued&quot;:{&quot;date-parts&quot;:[[2021,9]]},&quot;page&quot;:&quot;1757-1770&quot;,&quot;language&quot;:&quot;English&quot;,&quot;publisher&quot;:&quot;SAGE Publications Sage CA: Los Angeles, CA&quot;,&quot;issue&quot;:&quot;7&quot;,&quot;volume&quot;:&quot;47&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false"/>
    <we:property name="MENDELEY_BIBLIOGRAPHY_LAST_MODIFIED" value="1782040634938"/>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7B24B-DABF-4109-9AF2-F56A86A1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25</Pages>
  <Words>18937</Words>
  <Characters>107946</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BAB I SKRIPSI - PENGARUH MANAGERIAL OWNERSHIP...</vt:lpstr>
    </vt:vector>
  </TitlesOfParts>
  <Company/>
  <LinksUpToDate>false</LinksUpToDate>
  <CharactersWithSpaces>126630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 SKRIPSI - PENGARUH MANAGERIAL OWNERSHIP...</dc:title>
  <dc:creator>FIO</dc:creator>
  <cp:lastModifiedBy>alifio sulaksono</cp:lastModifiedBy>
  <cp:revision>20</cp:revision>
  <cp:lastPrinted>2026-07-22T17:59:00Z</cp:lastPrinted>
  <dcterms:created xsi:type="dcterms:W3CDTF">2026-07-22T07:24:00Z</dcterms:created>
  <dcterms:modified xsi:type="dcterms:W3CDTF">2026-08-31T03:25:00Z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2026-05-12T00:00:00Z</vt:filetime>
  </property>
  <property fmtid="{D5CDD505-2E9C-101B-9397-08002B2CF9AE}" pid="4" name="Creator">
    <vt:lpwstr>Mozilla/5.0 (X11; Linux x86_64) AppleWebKit/537.36 (KHTML, like Gecko) HeadlessChrome/147.0.0.0 Safari/537.36</vt:lpwstr>
  </property>
  <property fmtid="{D5CDD505-2E9C-101B-9397-08002B2CF9AE}" pid="5" name="LastSaved">
    <vt:filetime>2026-05-12T00:00:00Z</vt:filetime>
  </property>
  <property fmtid="{D5CDD505-2E9C-101B-9397-08002B2CF9AE}" pid="6" name="Producer">
    <vt:lpwstr>Skia/PDF m147</vt:lpwstr>
  </property>
  <property fmtid="{D5CDD505-2E9C-101B-9397-08002B2CF9AE}" pid="7" name="Mendeley Recent Style Id 0_1">
    <vt:lpwstr>http://www.zotero.org/styles/american-medical-association</vt:lpwstr>
  </property>
  <property fmtid="{D5CDD505-2E9C-101B-9397-08002B2CF9AE}" pid="8" name="Mendeley Recent Style Name 0_1">
    <vt:lpwstr>AMA Manual of Style 11th edition</vt:lpwstr>
  </property>
  <property fmtid="{D5CDD505-2E9C-101B-9397-08002B2CF9AE}" pid="9" name="Mendeley Recent Style Id 1_1">
    <vt:lpwstr>http://www.zotero.org/styles/apa</vt:lpwstr>
  </property>
  <property fmtid="{D5CDD505-2E9C-101B-9397-08002B2CF9AE}" pid="10" name="Mendeley Recent Style Name 1_1">
    <vt:lpwstr>APA Style 7th edition</vt:lpwstr>
  </property>
  <property fmtid="{D5CDD505-2E9C-101B-9397-08002B2CF9AE}" pid="11" name="Mendeley Recent Style Id 2_1">
    <vt:lpwstr>http://www.zotero.org/styles/american-political-science-association</vt:lpwstr>
  </property>
  <property fmtid="{D5CDD505-2E9C-101B-9397-08002B2CF9AE}" pid="12" name="Mendeley Recent Style Name 2_1">
    <vt:lpwstr>APSA Style Manual revised 2018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ASA Style Guide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18th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(author-date/Harvard)</vt:lpwstr>
  </property>
  <property fmtid="{D5CDD505-2E9C-101B-9397-08002B2CF9AE}" pid="19" name="Mendeley Recent Style Id 6_1">
    <vt:lpwstr>http://www.zotero.org/styles/ieee</vt:lpwstr>
  </property>
  <property fmtid="{D5CDD505-2E9C-101B-9397-08002B2CF9AE}" pid="20" name="Mendeley Recent Style Name 6_1">
    <vt:lpwstr>IEEE Reference Guide version 11.29.2023</vt:lpwstr>
  </property>
  <property fmtid="{D5CDD505-2E9C-101B-9397-08002B2CF9AE}" pid="21" name="Mendeley Recent Style Id 7_1">
    <vt:lpwstr>http://www.zotero.org/styles/modern-language-association</vt:lpwstr>
  </property>
  <property fmtid="{D5CDD505-2E9C-101B-9397-08002B2CF9AE}" pid="22" name="Mendeley Recent Style Name 7_1">
    <vt:lpwstr>MLA Handbook 9th edition (in-text citations)</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Mendeley Document_1">
    <vt:lpwstr>True</vt:lpwstr>
  </property>
  <property fmtid="{D5CDD505-2E9C-101B-9397-08002B2CF9AE}" pid="28" name="Mendeley Citation Style_1">
    <vt:lpwstr>http://www.zotero.org/styles/apa</vt:lpwstr>
  </property>
  <property fmtid="{D5CDD505-2E9C-101B-9397-08002B2CF9AE}" pid="29" name="Mendeley Unique User Id_1">
    <vt:lpwstr>939fec86-319b-33f9-8e2a-3beff8e26467</vt:lpwstr>
  </property>
</Properties>
</file>