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1261B" w14:textId="0C007FA3" w:rsidR="00AA31AB" w:rsidRDefault="00AA31AB" w:rsidP="00AA31AB">
      <w:pPr>
        <w:pStyle w:val="Heading1"/>
        <w:jc w:val="center"/>
        <w:rPr>
          <w:lang w:val="en-US"/>
        </w:rPr>
      </w:pPr>
      <w:bookmarkStart w:id="0" w:name="_Toc235560254"/>
      <w:r>
        <w:rPr>
          <w:lang w:val="en-US"/>
        </w:rPr>
        <w:t>DAFTAR PUSTAKA</w:t>
      </w:r>
      <w:bookmarkEnd w:id="0"/>
    </w:p>
    <w:p w14:paraId="5FF6ADA3" w14:textId="24C0CA66" w:rsidR="005C3A76" w:rsidRPr="005C3A76" w:rsidRDefault="003759E4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>
        <w:rPr>
          <w:rFonts w:cs="Times New Roman"/>
          <w:b/>
          <w:bCs/>
          <w:sz w:val="22"/>
          <w:lang w:val="en-US"/>
        </w:rPr>
        <w:fldChar w:fldCharType="begin" w:fldLock="1"/>
      </w:r>
      <w:r>
        <w:rPr>
          <w:rFonts w:cs="Times New Roman"/>
          <w:b/>
          <w:bCs/>
          <w:lang w:val="en-US"/>
        </w:rPr>
        <w:instrText xml:space="preserve">ADDIN Mendeley Bibliography CSL_BIBLIOGRAPHY </w:instrText>
      </w:r>
      <w:r>
        <w:rPr>
          <w:rFonts w:cs="Times New Roman"/>
          <w:b/>
          <w:bCs/>
          <w:sz w:val="22"/>
          <w:lang w:val="en-US"/>
        </w:rPr>
        <w:fldChar w:fldCharType="separate"/>
      </w:r>
      <w:r w:rsidR="005C3A76" w:rsidRPr="005C3A76">
        <w:rPr>
          <w:rFonts w:cs="Times New Roman"/>
          <w:noProof/>
          <w:szCs w:val="24"/>
        </w:rPr>
        <w:t xml:space="preserve">Antika, R. D., Arini, W. D., Arini, S. Y., Aulia, Z., &amp; Rahmatika, D. N. (2025). Journal of Sharia Economics. </w:t>
      </w:r>
      <w:r w:rsidR="005C3A76" w:rsidRPr="005C3A76">
        <w:rPr>
          <w:rFonts w:cs="Times New Roman"/>
          <w:i/>
          <w:iCs/>
          <w:noProof/>
          <w:szCs w:val="24"/>
        </w:rPr>
        <w:t>Journal of Sharia Economics</w:t>
      </w:r>
      <w:r w:rsidR="005C3A76" w:rsidRPr="005C3A76">
        <w:rPr>
          <w:rFonts w:cs="Times New Roman"/>
          <w:noProof/>
          <w:szCs w:val="24"/>
        </w:rPr>
        <w:t xml:space="preserve">, </w:t>
      </w:r>
      <w:r w:rsidR="005C3A76" w:rsidRPr="005C3A76">
        <w:rPr>
          <w:rFonts w:cs="Times New Roman"/>
          <w:i/>
          <w:iCs/>
          <w:noProof/>
          <w:szCs w:val="24"/>
        </w:rPr>
        <w:t>3</w:t>
      </w:r>
      <w:r w:rsidR="005C3A76" w:rsidRPr="005C3A76">
        <w:rPr>
          <w:rFonts w:cs="Times New Roman"/>
          <w:noProof/>
          <w:szCs w:val="24"/>
        </w:rPr>
        <w:t>(1), 18–39. https://journal.uaindonesia.ac.id/index.php/JSE/article/view/1272/858</w:t>
      </w:r>
    </w:p>
    <w:p w14:paraId="157038EF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Aprianto, A., Debataraja, N. N., &amp; Nurfitri, I. (2020). Metode Cochrane-Orcutt Untuk Mengatasi Autokorelasi Pada Estimasi Parameter Ordinary Least Squares. </w:t>
      </w:r>
      <w:r w:rsidRPr="005C3A76">
        <w:rPr>
          <w:rFonts w:cs="Times New Roman"/>
          <w:i/>
          <w:iCs/>
          <w:noProof/>
          <w:szCs w:val="24"/>
        </w:rPr>
        <w:t>Bimaster : Buletin Ilmiah Matematika, Statistika Dan Terapannya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9</w:t>
      </w:r>
      <w:r w:rsidRPr="005C3A76">
        <w:rPr>
          <w:rFonts w:cs="Times New Roman"/>
          <w:noProof/>
          <w:szCs w:val="24"/>
        </w:rPr>
        <w:t>(1), 95–102. https://doi.org/10.26418/bbimst.v9i1.38590</w:t>
      </w:r>
    </w:p>
    <w:p w14:paraId="0D44DFD3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Astutik, D., Rahardjo, D. A. S., Permana, I., Madyoningrum, A. W., &amp; Khaq, Z. D. (2025). Determinan Pengungkapan Corporate Social Responsibility Pada Industri Manufaktur. </w:t>
      </w:r>
      <w:r w:rsidRPr="005C3A76">
        <w:rPr>
          <w:rFonts w:cs="Times New Roman"/>
          <w:i/>
          <w:iCs/>
          <w:noProof/>
          <w:szCs w:val="24"/>
        </w:rPr>
        <w:t>Jurnal Akuntansi, Ekonomi Dan Manajemen Bisnis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5</w:t>
      </w:r>
      <w:r w:rsidRPr="005C3A76">
        <w:rPr>
          <w:rFonts w:cs="Times New Roman"/>
          <w:noProof/>
          <w:szCs w:val="24"/>
        </w:rPr>
        <w:t>(1), 654–662. https://doi.org/10.55606/jaemb.v5i1.7806</w:t>
      </w:r>
    </w:p>
    <w:p w14:paraId="264B6191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Aulia, N., Hikmat, A., Nur, T., &amp; Saleh, M. (2026). </w:t>
      </w:r>
      <w:r w:rsidRPr="005C3A76">
        <w:rPr>
          <w:rFonts w:cs="Times New Roman"/>
          <w:i/>
          <w:iCs/>
          <w:noProof/>
          <w:szCs w:val="24"/>
        </w:rPr>
        <w:t>PENGARUH KEPEMILIKAN INSTITUSIONAL, KEPEMILIKAN MANAJERIAL, DAN KOMITE AUDIT TERHADAP NILAI PERUSAHAAN BANK BUMN PERIODE 2021-2024</w:t>
      </w:r>
      <w:r w:rsidRPr="005C3A76">
        <w:rPr>
          <w:rFonts w:cs="Times New Roman"/>
          <w:noProof/>
          <w:szCs w:val="24"/>
        </w:rPr>
        <w:t xml:space="preserve">. </w:t>
      </w:r>
      <w:r w:rsidRPr="005C3A76">
        <w:rPr>
          <w:rFonts w:cs="Times New Roman"/>
          <w:i/>
          <w:iCs/>
          <w:noProof/>
          <w:szCs w:val="24"/>
        </w:rPr>
        <w:t>8</w:t>
      </w:r>
      <w:r w:rsidRPr="005C3A76">
        <w:rPr>
          <w:rFonts w:cs="Times New Roman"/>
          <w:noProof/>
          <w:szCs w:val="24"/>
        </w:rPr>
        <w:t>, 64–76. https://journal.umg.ac.id/index.php/dedikasimu/article/view/11372/5918</w:t>
      </w:r>
    </w:p>
    <w:p w14:paraId="34EACF31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Cahyani, A., &amp; Lestari, A. A. (2025). Studi Komparasi: Implementasi Corporate Social Responsibility pada Berbagai Sektor Industri yang Tercatat di Bursa Efek Indonesia. </w:t>
      </w:r>
      <w:r w:rsidRPr="005C3A76">
        <w:rPr>
          <w:rFonts w:cs="Times New Roman"/>
          <w:i/>
          <w:iCs/>
          <w:noProof/>
          <w:szCs w:val="24"/>
        </w:rPr>
        <w:t>Jurnal Ekonomi Bisnis Dan Akuntansi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5</w:t>
      </w:r>
      <w:r w:rsidRPr="005C3A76">
        <w:rPr>
          <w:rFonts w:cs="Times New Roman"/>
          <w:noProof/>
          <w:szCs w:val="24"/>
        </w:rPr>
        <w:t>(1), 605–615. https://doi.org/10.55606/jebaku.v5i1.5475</w:t>
      </w:r>
    </w:p>
    <w:p w14:paraId="2F1B6AA3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Carroll, A. B. (1991). The pyramide of Corporate Social Responsibility: Toward the Moral Management of Organizational Stakeholders. In </w:t>
      </w:r>
      <w:r w:rsidRPr="005C3A76">
        <w:rPr>
          <w:rFonts w:cs="Times New Roman"/>
          <w:i/>
          <w:iCs/>
          <w:noProof/>
          <w:szCs w:val="24"/>
        </w:rPr>
        <w:t>Busieness Horizons</w:t>
      </w:r>
      <w:r w:rsidRPr="005C3A76">
        <w:rPr>
          <w:rFonts w:cs="Times New Roman"/>
          <w:noProof/>
          <w:szCs w:val="24"/>
        </w:rPr>
        <w:t>.</w:t>
      </w:r>
    </w:p>
    <w:p w14:paraId="49D6AEE7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Dakhli, A. (2021). The impact of ownership structure on corporate social responsibility: the moderating role of financial performance. </w:t>
      </w:r>
      <w:r w:rsidRPr="005C3A76">
        <w:rPr>
          <w:rFonts w:cs="Times New Roman"/>
          <w:i/>
          <w:iCs/>
          <w:noProof/>
          <w:szCs w:val="24"/>
        </w:rPr>
        <w:t>Society and Business Review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16</w:t>
      </w:r>
      <w:r w:rsidRPr="005C3A76">
        <w:rPr>
          <w:rFonts w:cs="Times New Roman"/>
          <w:noProof/>
          <w:szCs w:val="24"/>
        </w:rPr>
        <w:t>(4), 562–591. https://doi.org/10.1108/SBR-01-2021-0013</w:t>
      </w:r>
    </w:p>
    <w:p w14:paraId="4C00BCE4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Danendratama, D., &amp; Dharma, A. V. (2026). Pengaruh Kepemilikan Institusional, Kepemilikan Manajerial, Jumlah Dewan Direksi, Proporsi Dewan Komisaris Independen …. </w:t>
      </w:r>
      <w:r w:rsidRPr="005C3A76">
        <w:rPr>
          <w:rFonts w:cs="Times New Roman"/>
          <w:i/>
          <w:iCs/>
          <w:noProof/>
          <w:szCs w:val="24"/>
        </w:rPr>
        <w:t>Jurnal Akuntansi &amp; …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6</w:t>
      </w:r>
      <w:r w:rsidRPr="005C3A76">
        <w:rPr>
          <w:rFonts w:cs="Times New Roman"/>
          <w:noProof/>
          <w:szCs w:val="24"/>
        </w:rPr>
        <w:t>(2), 758–768. https://online-journal.unja.ac.id/jaku/article/view/4694%0Ahttps://online-journal.unja.ac.id/jaku/article/download/4694/6432</w:t>
      </w:r>
    </w:p>
    <w:p w14:paraId="535B6306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Endah, W., Putri, C., Zamroni, A., Ceballos, R. F., &amp; Nolos, R. C. (2026). </w:t>
      </w:r>
      <w:r w:rsidRPr="005C3A76">
        <w:rPr>
          <w:rFonts w:cs="Times New Roman"/>
          <w:i/>
          <w:iCs/>
          <w:noProof/>
          <w:szCs w:val="24"/>
        </w:rPr>
        <w:t>Corporate Social Responsibility and Climate Action: Assessing IndonesianMining Companies’ Contributions to SDG 13</w:t>
      </w:r>
      <w:r w:rsidRPr="005C3A76">
        <w:rPr>
          <w:rFonts w:cs="Times New Roman"/>
          <w:noProof/>
          <w:szCs w:val="24"/>
        </w:rPr>
        <w:t>. https://ijoems.com/index.php/ijems/article/view/548/201</w:t>
      </w:r>
    </w:p>
    <w:p w14:paraId="73F2C21B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Evans, J., &amp; Kasztelnik, K. (2025). The Moderating Role of Corporate Social Responsibility in Strengthening the Link Between Organizational </w:t>
      </w:r>
      <w:r w:rsidRPr="005C3A76">
        <w:rPr>
          <w:rFonts w:cs="Times New Roman"/>
          <w:noProof/>
          <w:szCs w:val="24"/>
        </w:rPr>
        <w:lastRenderedPageBreak/>
        <w:t xml:space="preserve">Commitment and Employee Outcomes. </w:t>
      </w:r>
      <w:r w:rsidRPr="005C3A76">
        <w:rPr>
          <w:rFonts w:cs="Times New Roman"/>
          <w:i/>
          <w:iCs/>
          <w:noProof/>
          <w:szCs w:val="24"/>
        </w:rPr>
        <w:t>Business Ethics and Leadership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9</w:t>
      </w:r>
      <w:r w:rsidRPr="005C3A76">
        <w:rPr>
          <w:rFonts w:cs="Times New Roman"/>
          <w:noProof/>
          <w:szCs w:val="24"/>
        </w:rPr>
        <w:t>(3), 145–179. https://doi.org/10.61093/bel.9(3).145-179.2025</w:t>
      </w:r>
    </w:p>
    <w:p w14:paraId="430D7959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Fitria, A. N., &amp; Mariana. (2025). Pengaruh Pengungkapan Environmental, Social, dan Governance (ESG) Terhadap Kinerja Perusahaan Energi dan Pertambangan. </w:t>
      </w:r>
      <w:r w:rsidRPr="005C3A76">
        <w:rPr>
          <w:rFonts w:cs="Times New Roman"/>
          <w:i/>
          <w:iCs/>
          <w:noProof/>
          <w:szCs w:val="24"/>
        </w:rPr>
        <w:t>GEMILANG: Jurnal Manajemen Dan Akuntansi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5</w:t>
      </w:r>
      <w:r w:rsidRPr="005C3A76">
        <w:rPr>
          <w:rFonts w:cs="Times New Roman"/>
          <w:noProof/>
          <w:szCs w:val="24"/>
        </w:rPr>
        <w:t>(3), 190–205. https://doi.org/10.56910/gemilang.v5i3.2189</w:t>
      </w:r>
    </w:p>
    <w:p w14:paraId="76F528C4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Ghozali, I. (2021). </w:t>
      </w:r>
      <w:r w:rsidRPr="005C3A76">
        <w:rPr>
          <w:rFonts w:cs="Times New Roman"/>
          <w:i/>
          <w:iCs/>
          <w:noProof/>
          <w:szCs w:val="24"/>
        </w:rPr>
        <w:t>Aplikasi Analisis Multivariate dengan Program IMB SPSS 26 (Edisi 10)</w:t>
      </w:r>
      <w:r w:rsidRPr="005C3A76">
        <w:rPr>
          <w:rFonts w:cs="Times New Roman"/>
          <w:noProof/>
          <w:szCs w:val="24"/>
        </w:rPr>
        <w:t xml:space="preserve"> (10th ed.).</w:t>
      </w:r>
    </w:p>
    <w:p w14:paraId="3629D473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Gillan, S. L., Koch, A., &amp; Starks, L. T. (2021). Firms and social responsibility: A review of ESG and CSR research in corporate finance. </w:t>
      </w:r>
      <w:r w:rsidRPr="005C3A76">
        <w:rPr>
          <w:rFonts w:cs="Times New Roman"/>
          <w:i/>
          <w:iCs/>
          <w:noProof/>
          <w:szCs w:val="24"/>
        </w:rPr>
        <w:t>Journal of Corporate Finance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66</w:t>
      </w:r>
      <w:r w:rsidRPr="005C3A76">
        <w:rPr>
          <w:rFonts w:cs="Times New Roman"/>
          <w:noProof/>
          <w:szCs w:val="24"/>
        </w:rPr>
        <w:t>(September 2019), 101889. https://doi.org/10.1016/j.jcorpfin.2021.101889</w:t>
      </w:r>
    </w:p>
    <w:p w14:paraId="7DC81352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Hanafiah, R., &amp; Rahmi, E. (2025). </w:t>
      </w:r>
      <w:r w:rsidRPr="005C3A76">
        <w:rPr>
          <w:rFonts w:cs="Times New Roman"/>
          <w:i/>
          <w:iCs/>
          <w:noProof/>
          <w:szCs w:val="24"/>
        </w:rPr>
        <w:t>Kepemilikan Manajerial, Kepemilikan Institusional dan Proporsi Dewan Komisaris Independen terhadap Financial Distress</w:t>
      </w:r>
      <w:r w:rsidRPr="005C3A76">
        <w:rPr>
          <w:rFonts w:cs="Times New Roman"/>
          <w:noProof/>
          <w:szCs w:val="24"/>
        </w:rPr>
        <w:t xml:space="preserve">. </w:t>
      </w:r>
      <w:r w:rsidRPr="005C3A76">
        <w:rPr>
          <w:rFonts w:cs="Times New Roman"/>
          <w:i/>
          <w:iCs/>
          <w:noProof/>
          <w:szCs w:val="24"/>
        </w:rPr>
        <w:t>9</w:t>
      </w:r>
      <w:r w:rsidRPr="005C3A76">
        <w:rPr>
          <w:rFonts w:cs="Times New Roman"/>
          <w:noProof/>
          <w:szCs w:val="24"/>
        </w:rPr>
        <w:t>(2), 748–762. https://jurnal.politeknik-kebumen.ac.id/E-Bis/article/view/2630/1332</w:t>
      </w:r>
    </w:p>
    <w:p w14:paraId="7F9A1EEE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Harahap, L. M., Sianturi, P. W., &amp; Fauziah, S. (2026). </w:t>
      </w:r>
      <w:r w:rsidRPr="005C3A76">
        <w:rPr>
          <w:rFonts w:cs="Times New Roman"/>
          <w:i/>
          <w:iCs/>
          <w:noProof/>
          <w:szCs w:val="24"/>
        </w:rPr>
        <w:t>Analisis Kontribusi Industri Manufaktur terhadap Produk Domestik Bruto ( PDB ) Indonesia Tahun 2020-2024</w:t>
      </w:r>
      <w:r w:rsidRPr="005C3A76">
        <w:rPr>
          <w:rFonts w:cs="Times New Roman"/>
          <w:noProof/>
          <w:szCs w:val="24"/>
        </w:rPr>
        <w:t>. 16–29.</w:t>
      </w:r>
    </w:p>
    <w:p w14:paraId="56A19143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Hendrawan, M. A., Munang, A., &amp; Aliyah, K. (2026). Analisis Green Lean Manufacturing untuk Reduksi Waste dan Dampak Lingkungan pada Proses Pembuatan Tas. </w:t>
      </w:r>
      <w:r w:rsidRPr="005C3A76">
        <w:rPr>
          <w:rFonts w:cs="Times New Roman"/>
          <w:i/>
          <w:iCs/>
          <w:noProof/>
          <w:szCs w:val="24"/>
        </w:rPr>
        <w:t>Factory Jurnal Industri, Manajemen Dan Rekayasa Sistem Industri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4</w:t>
      </w:r>
      <w:r w:rsidRPr="005C3A76">
        <w:rPr>
          <w:rFonts w:cs="Times New Roman"/>
          <w:noProof/>
          <w:szCs w:val="24"/>
        </w:rPr>
        <w:t>(2), 233–245. https://doi.org/10.56211/factory.v4i2.1412</w:t>
      </w:r>
    </w:p>
    <w:p w14:paraId="0F4E9A79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Jensen, M. C., &amp; Meckling, W. H. (1976). </w:t>
      </w:r>
      <w:r w:rsidRPr="005C3A76">
        <w:rPr>
          <w:rFonts w:cs="Times New Roman"/>
          <w:i/>
          <w:iCs/>
          <w:noProof/>
          <w:szCs w:val="24"/>
        </w:rPr>
        <w:t>THEORY OF THE FIRM : MANAGERIAL BEHAVIOR , AGENCY COSTS AND OWNERSHIP STRUCTURE I . Introduction and summary In this paper WC draw on recent progress in the theory of ( 1 ) property rights , firm . In addition to tying together elements of the theory of e</w:t>
      </w:r>
      <w:r w:rsidRPr="005C3A76">
        <w:rPr>
          <w:rFonts w:cs="Times New Roman"/>
          <w:noProof/>
          <w:szCs w:val="24"/>
        </w:rPr>
        <w:t xml:space="preserve">. </w:t>
      </w:r>
      <w:r w:rsidRPr="005C3A76">
        <w:rPr>
          <w:rFonts w:cs="Times New Roman"/>
          <w:i/>
          <w:iCs/>
          <w:noProof/>
          <w:szCs w:val="24"/>
        </w:rPr>
        <w:t>3</w:t>
      </w:r>
      <w:r w:rsidRPr="005C3A76">
        <w:rPr>
          <w:rFonts w:cs="Times New Roman"/>
          <w:noProof/>
          <w:szCs w:val="24"/>
        </w:rPr>
        <w:t>, 305–360.</w:t>
      </w:r>
    </w:p>
    <w:p w14:paraId="5588D358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Kamilah, F., Meutia, Bastian, E., &amp; Muchlish, M. (2025). The role of corporate governance mechanisms, debt policy, profitability, and corporate social responsibility in strengthening company financial performance. </w:t>
      </w:r>
      <w:r w:rsidRPr="005C3A76">
        <w:rPr>
          <w:rFonts w:cs="Times New Roman"/>
          <w:i/>
          <w:iCs/>
          <w:noProof/>
          <w:szCs w:val="24"/>
        </w:rPr>
        <w:t>Decision Science Letters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14</w:t>
      </w:r>
      <w:r w:rsidRPr="005C3A76">
        <w:rPr>
          <w:rFonts w:cs="Times New Roman"/>
          <w:noProof/>
          <w:szCs w:val="24"/>
        </w:rPr>
        <w:t>(4), 943–954. https://doi.org/10.5267/j.dsl.2025.7.004</w:t>
      </w:r>
    </w:p>
    <w:p w14:paraId="7D20CA6E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Lee, A. (2023). </w:t>
      </w:r>
      <w:r w:rsidRPr="005C3A76">
        <w:rPr>
          <w:rFonts w:cs="Times New Roman"/>
          <w:i/>
          <w:iCs/>
          <w:noProof/>
          <w:szCs w:val="24"/>
        </w:rPr>
        <w:t>Nikel Morowali Jadi andalan RI, tapi Disorot Tak Ramah Lingkungan</w:t>
      </w:r>
      <w:r w:rsidRPr="005C3A76">
        <w:rPr>
          <w:rFonts w:cs="Times New Roman"/>
          <w:noProof/>
          <w:szCs w:val="24"/>
        </w:rPr>
        <w:t>. Bloomberg Technoz. https://www.bloombergtechnoz.com/detail-news/10945/nikel-morowali-jadi-andalan-ri-tapi-disorot-tak-ramah-lingkungan</w:t>
      </w:r>
    </w:p>
    <w:p w14:paraId="6E02DAA4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Lestari, R., Alam, S., Lokananta, A. C., &amp; Reza, Y. C. (2025). Persepsi Masyarakat Terhadap Implementasi CSR Universitas Budi Luhur di Desa Banjar Agung Ilir, Tanggamus, Lampung. </w:t>
      </w:r>
      <w:r w:rsidRPr="005C3A76">
        <w:rPr>
          <w:rFonts w:cs="Times New Roman"/>
          <w:i/>
          <w:iCs/>
          <w:noProof/>
          <w:szCs w:val="24"/>
        </w:rPr>
        <w:t>Avant Garde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13</w:t>
      </w:r>
      <w:r w:rsidRPr="005C3A76">
        <w:rPr>
          <w:rFonts w:cs="Times New Roman"/>
          <w:noProof/>
          <w:szCs w:val="24"/>
        </w:rPr>
        <w:t>(2), 280–297. https://doi.org/10.36080/ag.v13i2.4195</w:t>
      </w:r>
    </w:p>
    <w:p w14:paraId="7E8AA901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lastRenderedPageBreak/>
        <w:t xml:space="preserve">Machali, I. (2021). </w:t>
      </w:r>
      <w:r w:rsidRPr="005C3A76">
        <w:rPr>
          <w:rFonts w:cs="Times New Roman"/>
          <w:i/>
          <w:iCs/>
          <w:noProof/>
          <w:szCs w:val="24"/>
        </w:rPr>
        <w:t>Metode Penelitian Kuantitatif</w:t>
      </w:r>
      <w:r w:rsidRPr="005C3A76">
        <w:rPr>
          <w:rFonts w:cs="Times New Roman"/>
          <w:noProof/>
          <w:szCs w:val="24"/>
        </w:rPr>
        <w:t>.</w:t>
      </w:r>
    </w:p>
    <w:p w14:paraId="28828D11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Mubarok, A. H., &amp; Widianingsih, R. (2025). Pengaruh kinerja lingkungan, sosial, dan tata kelola (ESG) terhadap penilaian keberlanjutan perusahaan (CSA). </w:t>
      </w:r>
      <w:r w:rsidRPr="005C3A76">
        <w:rPr>
          <w:rFonts w:cs="Times New Roman"/>
          <w:i/>
          <w:iCs/>
          <w:noProof/>
          <w:szCs w:val="24"/>
        </w:rPr>
        <w:t>Prosiding Seminar Nasional Penelitian Dan Pengabdian Kepada Masyarakat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3</w:t>
      </w:r>
      <w:r w:rsidRPr="005C3A76">
        <w:rPr>
          <w:rFonts w:cs="Times New Roman"/>
          <w:noProof/>
          <w:szCs w:val="24"/>
        </w:rPr>
        <w:t>(1), 80–86. https://doi.org/10.24002/senapas.v3i1.12602</w:t>
      </w:r>
    </w:p>
    <w:p w14:paraId="336A88D6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Mufidah, K., &amp; Handayani, A. (2024). Prediksi Financial Distress pada Sektor Perbankan dengan Menggunakan Metode Altman Z-Score, Grover, Springate dan Zmijewski. </w:t>
      </w:r>
      <w:r w:rsidRPr="005C3A76">
        <w:rPr>
          <w:rFonts w:cs="Times New Roman"/>
          <w:i/>
          <w:iCs/>
          <w:noProof/>
          <w:szCs w:val="24"/>
        </w:rPr>
        <w:t>Jurnal Ekonomi Manajemen Sistem Informasi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5</w:t>
      </w:r>
      <w:r w:rsidRPr="005C3A76">
        <w:rPr>
          <w:rFonts w:cs="Times New Roman"/>
          <w:noProof/>
          <w:szCs w:val="24"/>
        </w:rPr>
        <w:t>(6), 540–553. https://doi.org/10.38035/jemsi.v5i6.2479</w:t>
      </w:r>
    </w:p>
    <w:p w14:paraId="19105468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Mustika, T. A. (2025). Environmental, Social, Governance (ESG) Sebagai Upaya Perusahaan Berkelanjutan Di Tahu Sehat Sari Klaten. </w:t>
      </w:r>
      <w:r w:rsidRPr="005C3A76">
        <w:rPr>
          <w:rFonts w:cs="Times New Roman"/>
          <w:i/>
          <w:iCs/>
          <w:noProof/>
          <w:szCs w:val="24"/>
        </w:rPr>
        <w:t>Literasi : Jurnal Kajian Keislaman Multi-Perspektif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5</w:t>
      </w:r>
      <w:r w:rsidRPr="005C3A76">
        <w:rPr>
          <w:rFonts w:cs="Times New Roman"/>
          <w:noProof/>
          <w:szCs w:val="24"/>
        </w:rPr>
        <w:t>(2), 34–43. https://doi.org/10.22515/literasi.v5i2.10376</w:t>
      </w:r>
    </w:p>
    <w:p w14:paraId="2282EB61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Nawangsari, A. T., Junjunan, M. I., &amp; Buchori, I. (2021). PENGUNGKAPAN CORPORATE SOCIAL RESPONSIBILITY SELAMA PANDEMI COVID-19 DI INDONESIA. </w:t>
      </w:r>
      <w:r w:rsidRPr="005C3A76">
        <w:rPr>
          <w:rFonts w:cs="Times New Roman"/>
          <w:i/>
          <w:iCs/>
          <w:noProof/>
          <w:szCs w:val="24"/>
        </w:rPr>
        <w:t>Jurnal Akuntansi Dan Bisnis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24</w:t>
      </w:r>
      <w:r w:rsidRPr="005C3A76">
        <w:rPr>
          <w:rFonts w:cs="Times New Roman"/>
          <w:noProof/>
          <w:szCs w:val="24"/>
        </w:rPr>
        <w:t>(2), 288–299. https://jab.fe.uns.ac.id/</w:t>
      </w:r>
    </w:p>
    <w:p w14:paraId="138CBAAA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Noviyanti, F., &amp; Priyawan, S. (2025). </w:t>
      </w:r>
      <w:r w:rsidRPr="005C3A76">
        <w:rPr>
          <w:rFonts w:cs="Times New Roman"/>
          <w:i/>
          <w:iCs/>
          <w:noProof/>
          <w:szCs w:val="24"/>
        </w:rPr>
        <w:t>PENGARUH GREEN ACCOUNTING, KINERJA LINGKUNGAN DAN CORPORATE SOCIAL RESPONSIBILITY TERHADAP NILAI PERUSAHAAN PADA PERUSAHAAN MANUFAKTUR SEKTOR INDUSTRI DASAR DAN KIMIA YANG TERDAFTAR DI BURSA EFEK INDONESIA</w:t>
      </w:r>
      <w:r w:rsidRPr="005C3A76">
        <w:rPr>
          <w:rFonts w:cs="Times New Roman"/>
          <w:noProof/>
          <w:szCs w:val="24"/>
        </w:rPr>
        <w:t xml:space="preserve">. </w:t>
      </w:r>
      <w:r w:rsidRPr="005C3A76">
        <w:rPr>
          <w:rFonts w:cs="Times New Roman"/>
          <w:i/>
          <w:iCs/>
          <w:noProof/>
          <w:szCs w:val="24"/>
        </w:rPr>
        <w:t>2</w:t>
      </w:r>
      <w:r w:rsidRPr="005C3A76">
        <w:rPr>
          <w:rFonts w:cs="Times New Roman"/>
          <w:noProof/>
          <w:szCs w:val="24"/>
        </w:rPr>
        <w:t>(04), 306–312.</w:t>
      </w:r>
    </w:p>
    <w:p w14:paraId="18E1B7BE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Paramita, M. D., &amp; Prasetio, J. E. (2025). Investigating the Effect of Disclosure of Sustainability Reports, Leverage, and Company Size on Financial Performance in the Banking Sector. </w:t>
      </w:r>
      <w:r w:rsidRPr="005C3A76">
        <w:rPr>
          <w:rFonts w:cs="Times New Roman"/>
          <w:i/>
          <w:iCs/>
          <w:noProof/>
          <w:szCs w:val="24"/>
        </w:rPr>
        <w:t>International Journal of Applied Business and International Management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10</w:t>
      </w:r>
      <w:r w:rsidRPr="005C3A76">
        <w:rPr>
          <w:rFonts w:cs="Times New Roman"/>
          <w:noProof/>
          <w:szCs w:val="24"/>
        </w:rPr>
        <w:t>(2), 246–260. https://doi.org/10.32535/ijabim.v10i2.3969</w:t>
      </w:r>
    </w:p>
    <w:p w14:paraId="2652BF67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>Peraturan Otoritas Jasa Keuangan Nomor 51 /POJK.03/2017 Tentang Penerapan Keuangan Berkelanjutan Bagi Lembaga Jasa Keuangan, Emitten Dan Perusahaan Publik, Otoritas Jasa Keuangan 1 (2017).</w:t>
      </w:r>
    </w:p>
    <w:p w14:paraId="4F85A1EB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Putri, D. A., Pahrijal, R., &amp; Arini, R. E. (2026). </w:t>
      </w:r>
      <w:r w:rsidRPr="005C3A76">
        <w:rPr>
          <w:rFonts w:cs="Times New Roman"/>
          <w:i/>
          <w:iCs/>
          <w:noProof/>
          <w:szCs w:val="24"/>
        </w:rPr>
        <w:t>Analisis Kredibilitas ESG dan Pengungkapan Sustainability Report terhadap Nilai Perusahaan Sektor Energi di Indonesia</w:t>
      </w:r>
      <w:r w:rsidRPr="005C3A76">
        <w:rPr>
          <w:rFonts w:cs="Times New Roman"/>
          <w:noProof/>
          <w:szCs w:val="24"/>
        </w:rPr>
        <w:t xml:space="preserve">. </w:t>
      </w:r>
      <w:r w:rsidRPr="005C3A76">
        <w:rPr>
          <w:rFonts w:cs="Times New Roman"/>
          <w:i/>
          <w:iCs/>
          <w:noProof/>
          <w:szCs w:val="24"/>
        </w:rPr>
        <w:t>5</w:t>
      </w:r>
      <w:r w:rsidRPr="005C3A76">
        <w:rPr>
          <w:rFonts w:cs="Times New Roman"/>
          <w:noProof/>
          <w:szCs w:val="24"/>
        </w:rPr>
        <w:t>(02), 227–236.</w:t>
      </w:r>
    </w:p>
    <w:p w14:paraId="54A1837F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Rahman, F. (2022). Penghargaan Proper 2021-2022, Sebanyak 889 Perusahaan Tidak Taat Aturan Lingkungan. </w:t>
      </w:r>
      <w:r w:rsidRPr="005C3A76">
        <w:rPr>
          <w:rFonts w:cs="Times New Roman"/>
          <w:i/>
          <w:iCs/>
          <w:noProof/>
          <w:szCs w:val="24"/>
        </w:rPr>
        <w:t>Pusat Studi Lingkungan Hidup UGM</w:t>
      </w:r>
      <w:r w:rsidRPr="005C3A76">
        <w:rPr>
          <w:rFonts w:cs="Times New Roman"/>
          <w:noProof/>
          <w:szCs w:val="24"/>
        </w:rPr>
        <w:t>. https://pslh.ugm.ac.id/penghargaan-proper-2021-2022-sebanyak-889-perusahaan-tidak-taat-aturan-lingkungan/</w:t>
      </w:r>
    </w:p>
    <w:p w14:paraId="533E71C8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Rahmawati, I., &amp; Maulana, I. (2026). Pengaruh Manajemen Laba Dan Kepemilikan Institusional Terhadap Kinerja Keuangan. </w:t>
      </w:r>
      <w:r w:rsidRPr="005C3A76">
        <w:rPr>
          <w:rFonts w:cs="Times New Roman"/>
          <w:i/>
          <w:iCs/>
          <w:noProof/>
          <w:szCs w:val="24"/>
        </w:rPr>
        <w:t>Jurnal Ilmiah Manajemen, Ekonomi, &amp; Akuntansi (MEA)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7</w:t>
      </w:r>
      <w:r w:rsidRPr="005C3A76">
        <w:rPr>
          <w:rFonts w:cs="Times New Roman"/>
          <w:noProof/>
          <w:szCs w:val="24"/>
        </w:rPr>
        <w:t xml:space="preserve">(3), 1629–1642. </w:t>
      </w:r>
      <w:r w:rsidRPr="005C3A76">
        <w:rPr>
          <w:rFonts w:cs="Times New Roman"/>
          <w:noProof/>
          <w:szCs w:val="24"/>
        </w:rPr>
        <w:lastRenderedPageBreak/>
        <w:t>https://doi.org/10.31955/mea.v7i3.3576</w:t>
      </w:r>
    </w:p>
    <w:p w14:paraId="1D9FECE9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Saputri, S. W., Oktavianna, R., Benarda, Rahmadani, L. S., &amp; Nurhaliza, Z. (2026). </w:t>
      </w:r>
      <w:r w:rsidRPr="005C3A76">
        <w:rPr>
          <w:rFonts w:cs="Times New Roman"/>
          <w:i/>
          <w:iCs/>
          <w:noProof/>
          <w:szCs w:val="24"/>
        </w:rPr>
        <w:t>Meningkatkan Nilai Perusahaan : Peran Pertumbuhan Penjualan dan Kepemilikan Manajerial dengan Ukuran Perusahaan sebagai Faktor Moderasi</w:t>
      </w:r>
      <w:r w:rsidRPr="005C3A76">
        <w:rPr>
          <w:rFonts w:cs="Times New Roman"/>
          <w:noProof/>
          <w:szCs w:val="24"/>
        </w:rPr>
        <w:t xml:space="preserve">. </w:t>
      </w:r>
      <w:r w:rsidRPr="005C3A76">
        <w:rPr>
          <w:rFonts w:cs="Times New Roman"/>
          <w:i/>
          <w:iCs/>
          <w:noProof/>
          <w:szCs w:val="24"/>
        </w:rPr>
        <w:t>11</w:t>
      </w:r>
      <w:r w:rsidRPr="005C3A76">
        <w:rPr>
          <w:rFonts w:cs="Times New Roman"/>
          <w:noProof/>
          <w:szCs w:val="24"/>
        </w:rPr>
        <w:t>(1), 112–124.</w:t>
      </w:r>
    </w:p>
    <w:p w14:paraId="1B5065A9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Sari, N. P. H. W., Kresnandra, A. A. N. A., &amp; Sujana, I. K. (2025). Institutional Ownership as a Moderator in the Relationship Between Enterprise Risk Management, Profitability, and Firm Value. </w:t>
      </w:r>
      <w:r w:rsidRPr="005C3A76">
        <w:rPr>
          <w:rFonts w:cs="Times New Roman"/>
          <w:i/>
          <w:iCs/>
          <w:noProof/>
          <w:szCs w:val="24"/>
        </w:rPr>
        <w:t>E-Jurnal Akuntansi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35</w:t>
      </w:r>
      <w:r w:rsidRPr="005C3A76">
        <w:rPr>
          <w:rFonts w:cs="Times New Roman"/>
          <w:noProof/>
          <w:szCs w:val="24"/>
        </w:rPr>
        <w:t>(7), 1949–1960. https://doi.org/10.24843/eja.2025.v35.i07.p05</w:t>
      </w:r>
    </w:p>
    <w:p w14:paraId="7658D504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Solihah, A. P., &amp; Fadilah, S. (2022). Pengaruh Environmental Performance, Corporate Governance, Dan Corporate Social Responsibility Terhadap Kinerja Keuangan. </w:t>
      </w:r>
      <w:r w:rsidRPr="005C3A76">
        <w:rPr>
          <w:rFonts w:cs="Times New Roman"/>
          <w:i/>
          <w:iCs/>
          <w:noProof/>
          <w:szCs w:val="24"/>
        </w:rPr>
        <w:t>Jurnal Ekonomi Trisakti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2</w:t>
      </w:r>
      <w:r w:rsidRPr="005C3A76">
        <w:rPr>
          <w:rFonts w:cs="Times New Roman"/>
          <w:noProof/>
          <w:szCs w:val="24"/>
        </w:rPr>
        <w:t>(2), 475–486. https://doi.org/10.25105/jet.v2i2.14321</w:t>
      </w:r>
    </w:p>
    <w:p w14:paraId="48F0E560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Thamara, S. D., Andriani, N., &amp; Syarif, M. (2025). Integration of CSR and ESG into Corporate Strategies in Realizing Social-Environmental Accountability: Systematic Literature Review. </w:t>
      </w:r>
      <w:r w:rsidRPr="005C3A76">
        <w:rPr>
          <w:rFonts w:cs="Times New Roman"/>
          <w:i/>
          <w:iCs/>
          <w:noProof/>
          <w:szCs w:val="24"/>
        </w:rPr>
        <w:t>East Asian Journal of Multidisciplinary Research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4</w:t>
      </w:r>
      <w:r w:rsidRPr="005C3A76">
        <w:rPr>
          <w:rFonts w:cs="Times New Roman"/>
          <w:noProof/>
          <w:szCs w:val="24"/>
        </w:rPr>
        <w:t>(11), 5407–5416. https://doi.org/10.55927/eajmr.v4i11.461</w:t>
      </w:r>
    </w:p>
    <w:p w14:paraId="5C9C7581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Turnip, Y. A., Anggusti, M. A., &amp; Nababan, R. N. (2026). </w:t>
      </w:r>
      <w:r w:rsidRPr="005C3A76">
        <w:rPr>
          <w:rFonts w:cs="Times New Roman"/>
          <w:i/>
          <w:iCs/>
          <w:noProof/>
          <w:szCs w:val="24"/>
        </w:rPr>
        <w:t>Kewajiban Direksi PT Dalam Penerapan Prinsip Environmental , Social , dan Governance ( Esg ) Sebagai Instrumen Pembangunan Keberlanjutan ( Studi Kasus Kim )</w:t>
      </w:r>
      <w:r w:rsidRPr="005C3A76">
        <w:rPr>
          <w:rFonts w:cs="Times New Roman"/>
          <w:noProof/>
          <w:szCs w:val="24"/>
        </w:rPr>
        <w:t xml:space="preserve">. </w:t>
      </w:r>
      <w:r w:rsidRPr="005C3A76">
        <w:rPr>
          <w:rFonts w:cs="Times New Roman"/>
          <w:i/>
          <w:iCs/>
          <w:noProof/>
          <w:szCs w:val="24"/>
        </w:rPr>
        <w:t>6</w:t>
      </w:r>
      <w:r w:rsidRPr="005C3A76">
        <w:rPr>
          <w:rFonts w:cs="Times New Roman"/>
          <w:noProof/>
          <w:szCs w:val="24"/>
        </w:rPr>
        <w:t>(3), 1887–1897.</w:t>
      </w:r>
    </w:p>
    <w:p w14:paraId="7954C9B3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>Undang-Undang Nomor 25 Tahun 2007 Tentang Penanaman Modal, 46 171 (2007). https://doi.org/10.2320/materia.46.171</w:t>
      </w:r>
    </w:p>
    <w:p w14:paraId="44CAD130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>Undang-Undang Nomor 40 Tahun 2007 Tentang Perseroan Terbatas, 46 171 (2007). https://doi.org/10.2320/materia.46.171</w:t>
      </w:r>
    </w:p>
    <w:p w14:paraId="33C7ED57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Waheed, A., Hussain, S., Hanif, H., Mahmood, H., &amp; Malik, W. A. (2021). Corporate social responsibility and firmperformance: The moderation of investmenthorizon and corporate governance. </w:t>
      </w:r>
      <w:r w:rsidRPr="005C3A76">
        <w:rPr>
          <w:rFonts w:cs="Times New Roman"/>
          <w:i/>
          <w:iCs/>
          <w:noProof/>
          <w:szCs w:val="24"/>
        </w:rPr>
        <w:t>Accounting, Corporate Governance &amp; Business Ethics Research Article</w:t>
      </w:r>
      <w:r w:rsidRPr="005C3A76">
        <w:rPr>
          <w:rFonts w:cs="Times New Roman"/>
          <w:noProof/>
          <w:szCs w:val="24"/>
        </w:rPr>
        <w:t>. https://www.tandfonline.com/doi/epdf/10.1080/23311975.2021.1938349?needAccess=true</w:t>
      </w:r>
    </w:p>
    <w:p w14:paraId="17E8E059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Wahida, N., Rahmiati, R., &amp; Zulvia, Y. (2020). Pengaruh struktur kepemilikan terhadap kinerja perusahaan manufaktur yang terdaftar di bursa efek Indonesia. </w:t>
      </w:r>
      <w:r w:rsidRPr="005C3A76">
        <w:rPr>
          <w:rFonts w:cs="Times New Roman"/>
          <w:i/>
          <w:iCs/>
          <w:noProof/>
          <w:szCs w:val="24"/>
        </w:rPr>
        <w:t>Jurnal Kajian Manajemen Dan Wirausaha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2</w:t>
      </w:r>
      <w:r w:rsidRPr="005C3A76">
        <w:rPr>
          <w:rFonts w:cs="Times New Roman"/>
          <w:noProof/>
          <w:szCs w:val="24"/>
        </w:rPr>
        <w:t>(4), 186. https://doi.org/10.24036/jkmw02100370</w:t>
      </w:r>
    </w:p>
    <w:p w14:paraId="5BF38395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  <w:szCs w:val="24"/>
        </w:rPr>
      </w:pPr>
      <w:r w:rsidRPr="005C3A76">
        <w:rPr>
          <w:rFonts w:cs="Times New Roman"/>
          <w:noProof/>
          <w:szCs w:val="24"/>
        </w:rPr>
        <w:t xml:space="preserve">Wulandari, N., &amp; Saleh, R. (2025). ESG Controversy as a Moderator of the Impact of Environmental, Social, and Governance Indicators on High-Profile Companies’ Performance in Asia. </w:t>
      </w:r>
      <w:r w:rsidRPr="005C3A76">
        <w:rPr>
          <w:rFonts w:cs="Times New Roman"/>
          <w:i/>
          <w:iCs/>
          <w:noProof/>
          <w:szCs w:val="24"/>
        </w:rPr>
        <w:t>Gadjah Mada International Journal of Business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27</w:t>
      </w:r>
      <w:r w:rsidRPr="005C3A76">
        <w:rPr>
          <w:rFonts w:cs="Times New Roman"/>
          <w:noProof/>
          <w:szCs w:val="24"/>
        </w:rPr>
        <w:t>(3), 373–401. https://doi.org/10.22146/gamaijb.110605</w:t>
      </w:r>
    </w:p>
    <w:p w14:paraId="280BCF62" w14:textId="77777777" w:rsidR="005C3A76" w:rsidRPr="005C3A76" w:rsidRDefault="005C3A76" w:rsidP="005C3A76">
      <w:pPr>
        <w:adjustRightInd w:val="0"/>
        <w:spacing w:before="180" w:line="240" w:lineRule="auto"/>
        <w:ind w:left="480" w:hanging="480"/>
        <w:rPr>
          <w:rFonts w:cs="Times New Roman"/>
          <w:noProof/>
        </w:rPr>
      </w:pPr>
      <w:r w:rsidRPr="005C3A76">
        <w:rPr>
          <w:rFonts w:cs="Times New Roman"/>
          <w:noProof/>
          <w:szCs w:val="24"/>
        </w:rPr>
        <w:lastRenderedPageBreak/>
        <w:t xml:space="preserve">Xu, X., &amp; Yang, J. (2023). Does managerial short-termism always matter in a firm’s corporate social responsibility performance? Evidence from China. </w:t>
      </w:r>
      <w:r w:rsidRPr="005C3A76">
        <w:rPr>
          <w:rFonts w:cs="Times New Roman"/>
          <w:i/>
          <w:iCs/>
          <w:noProof/>
          <w:szCs w:val="24"/>
        </w:rPr>
        <w:t>Heliyon</w:t>
      </w:r>
      <w:r w:rsidRPr="005C3A76">
        <w:rPr>
          <w:rFonts w:cs="Times New Roman"/>
          <w:noProof/>
          <w:szCs w:val="24"/>
        </w:rPr>
        <w:t xml:space="preserve">, </w:t>
      </w:r>
      <w:r w:rsidRPr="005C3A76">
        <w:rPr>
          <w:rFonts w:cs="Times New Roman"/>
          <w:i/>
          <w:iCs/>
          <w:noProof/>
          <w:szCs w:val="24"/>
        </w:rPr>
        <w:t>9</w:t>
      </w:r>
      <w:r w:rsidRPr="005C3A76">
        <w:rPr>
          <w:rFonts w:cs="Times New Roman"/>
          <w:noProof/>
          <w:szCs w:val="24"/>
        </w:rPr>
        <w:t>(3), e14240. https://doi.org/10.1016/j.heliyon.2023.e14240</w:t>
      </w:r>
    </w:p>
    <w:p w14:paraId="3A32D911" w14:textId="5BDD43A6" w:rsidR="00030D4C" w:rsidRPr="003759E4" w:rsidRDefault="003759E4" w:rsidP="00030D4C">
      <w:pPr>
        <w:adjustRightInd w:val="0"/>
        <w:spacing w:before="180" w:line="240" w:lineRule="auto"/>
        <w:ind w:left="480" w:hanging="480"/>
        <w:rPr>
          <w:rFonts w:cs="Times New Roman"/>
          <w:b/>
          <w:bCs/>
          <w:szCs w:val="24"/>
          <w:lang w:val="en-US"/>
        </w:rPr>
      </w:pPr>
      <w:r>
        <w:rPr>
          <w:rFonts w:cs="Times New Roman"/>
          <w:b/>
          <w:bCs/>
          <w:lang w:val="en-US"/>
        </w:rPr>
        <w:fldChar w:fldCharType="end"/>
      </w:r>
      <w:r w:rsidR="00030D4C" w:rsidRPr="003759E4">
        <w:rPr>
          <w:rFonts w:cs="Times New Roman"/>
          <w:b/>
          <w:bCs/>
          <w:szCs w:val="24"/>
          <w:lang w:val="en-US"/>
        </w:rPr>
        <w:t xml:space="preserve"> </w:t>
      </w:r>
    </w:p>
    <w:p w14:paraId="05AF31DE" w14:textId="77777777" w:rsidR="00C014B5" w:rsidRPr="00C525D8" w:rsidRDefault="00C014B5" w:rsidP="00537D4B">
      <w:pPr>
        <w:pStyle w:val="Heading1"/>
        <w:jc w:val="center"/>
        <w:rPr>
          <w:b w:val="0"/>
          <w:bCs w:val="0"/>
          <w:lang w:val="en-US"/>
        </w:rPr>
      </w:pPr>
    </w:p>
    <w:sectPr w:rsidR="00C014B5" w:rsidRPr="00C525D8" w:rsidSect="00742928">
      <w:headerReference w:type="default" r:id="rId8"/>
      <w:footerReference w:type="default" r:id="rId9"/>
      <w:pgSz w:w="11920" w:h="16860"/>
      <w:pgMar w:top="2268" w:right="1701" w:bottom="1701" w:left="226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D7B97" w14:textId="77777777" w:rsidR="00036FED" w:rsidRDefault="00036FED" w:rsidP="00C83A9F">
      <w:r>
        <w:separator/>
      </w:r>
    </w:p>
  </w:endnote>
  <w:endnote w:type="continuationSeparator" w:id="0">
    <w:p w14:paraId="6389CEFD" w14:textId="77777777" w:rsidR="00036FED" w:rsidRDefault="00036FED" w:rsidP="00C83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-5958705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45E141" w14:textId="3B27503D" w:rsidR="00383280" w:rsidRDefault="00383280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24222DDB" w14:textId="77777777" w:rsidR="00383280" w:rsidRDefault="00383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1E867" w14:textId="77777777" w:rsidR="00036FED" w:rsidRDefault="00036FED" w:rsidP="00C83A9F">
      <w:r>
        <w:separator/>
      </w:r>
    </w:p>
  </w:footnote>
  <w:footnote w:type="continuationSeparator" w:id="0">
    <w:p w14:paraId="7CBDFAF5" w14:textId="77777777" w:rsidR="00036FED" w:rsidRDefault="00036FED" w:rsidP="00C83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FAF90" w14:textId="3FD76286" w:rsidR="00383280" w:rsidRDefault="00383280">
    <w:pPr>
      <w:pStyle w:val="Header"/>
      <w:jc w:val="right"/>
    </w:pPr>
  </w:p>
  <w:p w14:paraId="655ECF52" w14:textId="77777777" w:rsidR="00383280" w:rsidRDefault="003832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0A23"/>
    <w:multiLevelType w:val="hybridMultilevel"/>
    <w:tmpl w:val="416E6F82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564F7A"/>
    <w:multiLevelType w:val="hybridMultilevel"/>
    <w:tmpl w:val="1CEE60D6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940EBA"/>
    <w:multiLevelType w:val="hybridMultilevel"/>
    <w:tmpl w:val="24761760"/>
    <w:lvl w:ilvl="0" w:tplc="B0DC6A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94252"/>
    <w:multiLevelType w:val="hybridMultilevel"/>
    <w:tmpl w:val="F5DA679E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F66E10"/>
    <w:multiLevelType w:val="hybridMultilevel"/>
    <w:tmpl w:val="FBF0C9DA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6D6669"/>
    <w:multiLevelType w:val="hybridMultilevel"/>
    <w:tmpl w:val="6A88434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A0275"/>
    <w:multiLevelType w:val="hybridMultilevel"/>
    <w:tmpl w:val="C2EC884A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342A92"/>
    <w:multiLevelType w:val="hybridMultilevel"/>
    <w:tmpl w:val="E752FB5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004AF"/>
    <w:multiLevelType w:val="hybridMultilevel"/>
    <w:tmpl w:val="EE9A164E"/>
    <w:lvl w:ilvl="0" w:tplc="B0DC6A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84908"/>
    <w:multiLevelType w:val="hybridMultilevel"/>
    <w:tmpl w:val="99D0587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A722B"/>
    <w:multiLevelType w:val="hybridMultilevel"/>
    <w:tmpl w:val="6ADCFE7C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B34A13"/>
    <w:multiLevelType w:val="hybridMultilevel"/>
    <w:tmpl w:val="5C4AFE7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1771E"/>
    <w:multiLevelType w:val="hybridMultilevel"/>
    <w:tmpl w:val="71F6545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B43CC"/>
    <w:multiLevelType w:val="hybridMultilevel"/>
    <w:tmpl w:val="6A0CCE60"/>
    <w:lvl w:ilvl="0" w:tplc="BA20FD84">
      <w:numFmt w:val="bullet"/>
      <w:lvlText w:val="-"/>
      <w:lvlJc w:val="left"/>
      <w:pPr>
        <w:ind w:left="480" w:hanging="360"/>
      </w:pPr>
      <w:rPr>
        <w:rFonts w:ascii="Times New Roman" w:eastAsia="Liberation Serif" w:hAnsi="Times New Roman" w:cs="Times New Roman" w:hint="default"/>
      </w:rPr>
    </w:lvl>
    <w:lvl w:ilvl="1" w:tplc="38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307F44CA"/>
    <w:multiLevelType w:val="hybridMultilevel"/>
    <w:tmpl w:val="22E2A7AC"/>
    <w:lvl w:ilvl="0" w:tplc="C6EA8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BD131C"/>
    <w:multiLevelType w:val="hybridMultilevel"/>
    <w:tmpl w:val="1BBA1E7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62BA6"/>
    <w:multiLevelType w:val="hybridMultilevel"/>
    <w:tmpl w:val="6A88434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B437F"/>
    <w:multiLevelType w:val="hybridMultilevel"/>
    <w:tmpl w:val="0ADACC0E"/>
    <w:lvl w:ilvl="0" w:tplc="6E0C1E8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98" w:hanging="360"/>
      </w:pPr>
    </w:lvl>
    <w:lvl w:ilvl="2" w:tplc="3809001B" w:tentative="1">
      <w:start w:val="1"/>
      <w:numFmt w:val="lowerRoman"/>
      <w:lvlText w:val="%3."/>
      <w:lvlJc w:val="right"/>
      <w:pPr>
        <w:ind w:left="3218" w:hanging="180"/>
      </w:pPr>
    </w:lvl>
    <w:lvl w:ilvl="3" w:tplc="3809000F" w:tentative="1">
      <w:start w:val="1"/>
      <w:numFmt w:val="decimal"/>
      <w:lvlText w:val="%4."/>
      <w:lvlJc w:val="left"/>
      <w:pPr>
        <w:ind w:left="3938" w:hanging="360"/>
      </w:pPr>
    </w:lvl>
    <w:lvl w:ilvl="4" w:tplc="38090019" w:tentative="1">
      <w:start w:val="1"/>
      <w:numFmt w:val="lowerLetter"/>
      <w:lvlText w:val="%5."/>
      <w:lvlJc w:val="left"/>
      <w:pPr>
        <w:ind w:left="4658" w:hanging="360"/>
      </w:pPr>
    </w:lvl>
    <w:lvl w:ilvl="5" w:tplc="3809001B" w:tentative="1">
      <w:start w:val="1"/>
      <w:numFmt w:val="lowerRoman"/>
      <w:lvlText w:val="%6."/>
      <w:lvlJc w:val="right"/>
      <w:pPr>
        <w:ind w:left="5378" w:hanging="180"/>
      </w:pPr>
    </w:lvl>
    <w:lvl w:ilvl="6" w:tplc="3809000F" w:tentative="1">
      <w:start w:val="1"/>
      <w:numFmt w:val="decimal"/>
      <w:lvlText w:val="%7."/>
      <w:lvlJc w:val="left"/>
      <w:pPr>
        <w:ind w:left="6098" w:hanging="360"/>
      </w:pPr>
    </w:lvl>
    <w:lvl w:ilvl="7" w:tplc="38090019" w:tentative="1">
      <w:start w:val="1"/>
      <w:numFmt w:val="lowerLetter"/>
      <w:lvlText w:val="%8."/>
      <w:lvlJc w:val="left"/>
      <w:pPr>
        <w:ind w:left="6818" w:hanging="360"/>
      </w:pPr>
    </w:lvl>
    <w:lvl w:ilvl="8" w:tplc="3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59851842"/>
    <w:multiLevelType w:val="hybridMultilevel"/>
    <w:tmpl w:val="36C8023E"/>
    <w:lvl w:ilvl="0" w:tplc="00AC1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BA32EF"/>
    <w:multiLevelType w:val="hybridMultilevel"/>
    <w:tmpl w:val="5C4AFE7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B4750"/>
    <w:multiLevelType w:val="hybridMultilevel"/>
    <w:tmpl w:val="F918C90A"/>
    <w:lvl w:ilvl="0" w:tplc="9420FB56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00806"/>
    <w:multiLevelType w:val="multilevel"/>
    <w:tmpl w:val="CB52C1B8"/>
    <w:lvl w:ilvl="0">
      <w:start w:val="1"/>
      <w:numFmt w:val="decimal"/>
      <w:lvlText w:val="%1"/>
      <w:lvlJc w:val="left"/>
      <w:pPr>
        <w:ind w:left="427" w:hanging="36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02" w:hanging="536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787" w:hanging="720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1200" w:hanging="240"/>
      </w:pPr>
      <w:rPr>
        <w:rFonts w:ascii="Times New Roman" w:eastAsia="Liberation Serif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3614" w:hanging="2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822" w:hanging="2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029" w:hanging="2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237" w:hanging="240"/>
      </w:pPr>
      <w:rPr>
        <w:rFonts w:hint="default"/>
        <w:lang w:val="id" w:eastAsia="en-US" w:bidi="ar-SA"/>
      </w:rPr>
    </w:lvl>
  </w:abstractNum>
  <w:abstractNum w:abstractNumId="22" w15:restartNumberingAfterBreak="0">
    <w:nsid w:val="64137311"/>
    <w:multiLevelType w:val="hybridMultilevel"/>
    <w:tmpl w:val="7CD43DA6"/>
    <w:lvl w:ilvl="0" w:tplc="9E9AE1D6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6179F8"/>
    <w:multiLevelType w:val="hybridMultilevel"/>
    <w:tmpl w:val="1BBA1E7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16222"/>
    <w:multiLevelType w:val="hybridMultilevel"/>
    <w:tmpl w:val="5C4AFE7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27A3D"/>
    <w:multiLevelType w:val="hybridMultilevel"/>
    <w:tmpl w:val="17ACA98A"/>
    <w:lvl w:ilvl="0" w:tplc="1A7457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EB733C3"/>
    <w:multiLevelType w:val="hybridMultilevel"/>
    <w:tmpl w:val="05C6B874"/>
    <w:lvl w:ilvl="0" w:tplc="B0DC6A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0E7D01"/>
    <w:multiLevelType w:val="hybridMultilevel"/>
    <w:tmpl w:val="24761760"/>
    <w:lvl w:ilvl="0" w:tplc="B0DC6A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F7490"/>
    <w:multiLevelType w:val="hybridMultilevel"/>
    <w:tmpl w:val="B54CD48E"/>
    <w:lvl w:ilvl="0" w:tplc="D8F84D74">
      <w:numFmt w:val="bullet"/>
      <w:lvlText w:val="-"/>
      <w:lvlJc w:val="left"/>
      <w:pPr>
        <w:ind w:left="480" w:hanging="360"/>
      </w:pPr>
      <w:rPr>
        <w:rFonts w:ascii="Times New Roman" w:eastAsia="Liberation Serif" w:hAnsi="Times New Roman" w:cs="Times New Roman" w:hint="default"/>
      </w:rPr>
    </w:lvl>
    <w:lvl w:ilvl="1" w:tplc="38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9" w15:restartNumberingAfterBreak="0">
    <w:nsid w:val="75C5576C"/>
    <w:multiLevelType w:val="hybridMultilevel"/>
    <w:tmpl w:val="E752FB5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507A3"/>
    <w:multiLevelType w:val="multilevel"/>
    <w:tmpl w:val="8526A07E"/>
    <w:lvl w:ilvl="0">
      <w:start w:val="2"/>
      <w:numFmt w:val="decimal"/>
      <w:lvlText w:val="%1"/>
      <w:lvlJc w:val="left"/>
      <w:pPr>
        <w:ind w:left="937" w:hanging="36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937" w:hanging="360"/>
      </w:pPr>
      <w:rPr>
        <w:rFonts w:ascii="Times New Roman" w:eastAsia="Liberation Serif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113" w:hanging="536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795" w:hanging="53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633" w:hanging="53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470" w:hanging="53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308" w:hanging="53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146" w:hanging="53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983" w:hanging="536"/>
      </w:pPr>
      <w:rPr>
        <w:rFonts w:hint="default"/>
        <w:lang w:val="id" w:eastAsia="en-US" w:bidi="ar-SA"/>
      </w:rPr>
    </w:lvl>
  </w:abstractNum>
  <w:abstractNum w:abstractNumId="31" w15:restartNumberingAfterBreak="0">
    <w:nsid w:val="7E5441D9"/>
    <w:multiLevelType w:val="hybridMultilevel"/>
    <w:tmpl w:val="5C4AFE7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23D61"/>
    <w:multiLevelType w:val="hybridMultilevel"/>
    <w:tmpl w:val="1CEE60D6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D2125E"/>
    <w:multiLevelType w:val="hybridMultilevel"/>
    <w:tmpl w:val="75A48E50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802FD9"/>
    <w:multiLevelType w:val="hybridMultilevel"/>
    <w:tmpl w:val="BC127DDC"/>
    <w:lvl w:ilvl="0" w:tplc="B0DC6AE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5364216">
    <w:abstractNumId w:val="21"/>
  </w:num>
  <w:num w:numId="2" w16cid:durableId="1397587023">
    <w:abstractNumId w:val="13"/>
  </w:num>
  <w:num w:numId="3" w16cid:durableId="1098135431">
    <w:abstractNumId w:val="28"/>
  </w:num>
  <w:num w:numId="4" w16cid:durableId="940723906">
    <w:abstractNumId w:val="30"/>
  </w:num>
  <w:num w:numId="5" w16cid:durableId="1300648493">
    <w:abstractNumId w:val="18"/>
  </w:num>
  <w:num w:numId="6" w16cid:durableId="1385064996">
    <w:abstractNumId w:val="25"/>
  </w:num>
  <w:num w:numId="7" w16cid:durableId="743260163">
    <w:abstractNumId w:val="17"/>
  </w:num>
  <w:num w:numId="8" w16cid:durableId="756485438">
    <w:abstractNumId w:val="0"/>
  </w:num>
  <w:num w:numId="9" w16cid:durableId="1767312393">
    <w:abstractNumId w:val="10"/>
  </w:num>
  <w:num w:numId="10" w16cid:durableId="1760560313">
    <w:abstractNumId w:val="26"/>
  </w:num>
  <w:num w:numId="11" w16cid:durableId="762145493">
    <w:abstractNumId w:val="8"/>
  </w:num>
  <w:num w:numId="12" w16cid:durableId="169299238">
    <w:abstractNumId w:val="20"/>
  </w:num>
  <w:num w:numId="13" w16cid:durableId="1745180180">
    <w:abstractNumId w:val="22"/>
  </w:num>
  <w:num w:numId="14" w16cid:durableId="746725530">
    <w:abstractNumId w:val="12"/>
  </w:num>
  <w:num w:numId="15" w16cid:durableId="1870489141">
    <w:abstractNumId w:val="15"/>
  </w:num>
  <w:num w:numId="16" w16cid:durableId="1059478842">
    <w:abstractNumId w:val="24"/>
  </w:num>
  <w:num w:numId="17" w16cid:durableId="1742363786">
    <w:abstractNumId w:val="7"/>
  </w:num>
  <w:num w:numId="18" w16cid:durableId="1889951365">
    <w:abstractNumId w:val="31"/>
  </w:num>
  <w:num w:numId="19" w16cid:durableId="1410545075">
    <w:abstractNumId w:val="19"/>
  </w:num>
  <w:num w:numId="20" w16cid:durableId="276983404">
    <w:abstractNumId w:val="9"/>
  </w:num>
  <w:num w:numId="21" w16cid:durableId="1414863684">
    <w:abstractNumId w:val="5"/>
  </w:num>
  <w:num w:numId="22" w16cid:durableId="1746343798">
    <w:abstractNumId w:val="16"/>
  </w:num>
  <w:num w:numId="23" w16cid:durableId="2030570566">
    <w:abstractNumId w:val="23"/>
  </w:num>
  <w:num w:numId="24" w16cid:durableId="239408669">
    <w:abstractNumId w:val="29"/>
  </w:num>
  <w:num w:numId="25" w16cid:durableId="1062369617">
    <w:abstractNumId w:val="11"/>
  </w:num>
  <w:num w:numId="26" w16cid:durableId="113405111">
    <w:abstractNumId w:val="27"/>
  </w:num>
  <w:num w:numId="27" w16cid:durableId="1420298086">
    <w:abstractNumId w:val="2"/>
  </w:num>
  <w:num w:numId="28" w16cid:durableId="874075194">
    <w:abstractNumId w:val="33"/>
  </w:num>
  <w:num w:numId="29" w16cid:durableId="237983428">
    <w:abstractNumId w:val="4"/>
  </w:num>
  <w:num w:numId="30" w16cid:durableId="1040973974">
    <w:abstractNumId w:val="1"/>
  </w:num>
  <w:num w:numId="31" w16cid:durableId="1348020891">
    <w:abstractNumId w:val="32"/>
  </w:num>
  <w:num w:numId="32" w16cid:durableId="1776511882">
    <w:abstractNumId w:val="3"/>
  </w:num>
  <w:num w:numId="33" w16cid:durableId="2076124920">
    <w:abstractNumId w:val="6"/>
  </w:num>
  <w:num w:numId="34" w16cid:durableId="1361586007">
    <w:abstractNumId w:val="34"/>
  </w:num>
  <w:num w:numId="35" w16cid:durableId="595485453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53"/>
    <w:rsid w:val="000139F4"/>
    <w:rsid w:val="000206FD"/>
    <w:rsid w:val="000261AA"/>
    <w:rsid w:val="00030D4C"/>
    <w:rsid w:val="0003229A"/>
    <w:rsid w:val="00035E46"/>
    <w:rsid w:val="00036FED"/>
    <w:rsid w:val="00041C39"/>
    <w:rsid w:val="000461B1"/>
    <w:rsid w:val="0005083E"/>
    <w:rsid w:val="0005365C"/>
    <w:rsid w:val="00056C26"/>
    <w:rsid w:val="000629AB"/>
    <w:rsid w:val="00066137"/>
    <w:rsid w:val="00072EF3"/>
    <w:rsid w:val="00077335"/>
    <w:rsid w:val="00083E74"/>
    <w:rsid w:val="000958BA"/>
    <w:rsid w:val="00096F78"/>
    <w:rsid w:val="00097511"/>
    <w:rsid w:val="00097A0F"/>
    <w:rsid w:val="000A13B6"/>
    <w:rsid w:val="000B09A1"/>
    <w:rsid w:val="000B10A4"/>
    <w:rsid w:val="000B12BA"/>
    <w:rsid w:val="000B2909"/>
    <w:rsid w:val="000B54C2"/>
    <w:rsid w:val="000C099D"/>
    <w:rsid w:val="000C1130"/>
    <w:rsid w:val="000C7B8F"/>
    <w:rsid w:val="000E7721"/>
    <w:rsid w:val="000F1A7D"/>
    <w:rsid w:val="00102B93"/>
    <w:rsid w:val="00103A99"/>
    <w:rsid w:val="0010536E"/>
    <w:rsid w:val="00107399"/>
    <w:rsid w:val="00130FD8"/>
    <w:rsid w:val="00137B5F"/>
    <w:rsid w:val="001421EA"/>
    <w:rsid w:val="00145D08"/>
    <w:rsid w:val="00147E75"/>
    <w:rsid w:val="0015032A"/>
    <w:rsid w:val="00156B59"/>
    <w:rsid w:val="00163A09"/>
    <w:rsid w:val="00164247"/>
    <w:rsid w:val="001803C6"/>
    <w:rsid w:val="001844B7"/>
    <w:rsid w:val="001A7AF2"/>
    <w:rsid w:val="001B0594"/>
    <w:rsid w:val="001B3A1B"/>
    <w:rsid w:val="001C1D51"/>
    <w:rsid w:val="001D2493"/>
    <w:rsid w:val="001D6E46"/>
    <w:rsid w:val="001E3C87"/>
    <w:rsid w:val="001E78FB"/>
    <w:rsid w:val="001F19D0"/>
    <w:rsid w:val="001F530A"/>
    <w:rsid w:val="001F6BA3"/>
    <w:rsid w:val="00203B8E"/>
    <w:rsid w:val="002145A0"/>
    <w:rsid w:val="0022580B"/>
    <w:rsid w:val="00225B9F"/>
    <w:rsid w:val="00233F6F"/>
    <w:rsid w:val="00241DC4"/>
    <w:rsid w:val="00244899"/>
    <w:rsid w:val="00250697"/>
    <w:rsid w:val="002525B5"/>
    <w:rsid w:val="002845A0"/>
    <w:rsid w:val="00290D46"/>
    <w:rsid w:val="002A0026"/>
    <w:rsid w:val="002B0AC2"/>
    <w:rsid w:val="002B4353"/>
    <w:rsid w:val="002D5CEF"/>
    <w:rsid w:val="002E1B28"/>
    <w:rsid w:val="003004D5"/>
    <w:rsid w:val="003005A0"/>
    <w:rsid w:val="00305541"/>
    <w:rsid w:val="003060DE"/>
    <w:rsid w:val="00307F0A"/>
    <w:rsid w:val="003142F3"/>
    <w:rsid w:val="00317EE7"/>
    <w:rsid w:val="003317D5"/>
    <w:rsid w:val="00332E7B"/>
    <w:rsid w:val="00346396"/>
    <w:rsid w:val="00353363"/>
    <w:rsid w:val="0035767A"/>
    <w:rsid w:val="00360273"/>
    <w:rsid w:val="00361802"/>
    <w:rsid w:val="00361E55"/>
    <w:rsid w:val="00365CA0"/>
    <w:rsid w:val="00371D47"/>
    <w:rsid w:val="00372C64"/>
    <w:rsid w:val="003759E4"/>
    <w:rsid w:val="00383280"/>
    <w:rsid w:val="0038611D"/>
    <w:rsid w:val="00386499"/>
    <w:rsid w:val="003A5BC5"/>
    <w:rsid w:val="003A6760"/>
    <w:rsid w:val="003A7A9E"/>
    <w:rsid w:val="003B7036"/>
    <w:rsid w:val="003C2364"/>
    <w:rsid w:val="003C3F4C"/>
    <w:rsid w:val="003D2AF0"/>
    <w:rsid w:val="003D50C6"/>
    <w:rsid w:val="003D5FCA"/>
    <w:rsid w:val="003E07F1"/>
    <w:rsid w:val="003E5786"/>
    <w:rsid w:val="003F007C"/>
    <w:rsid w:val="003F53B8"/>
    <w:rsid w:val="00403139"/>
    <w:rsid w:val="004063DB"/>
    <w:rsid w:val="0041550A"/>
    <w:rsid w:val="00421E00"/>
    <w:rsid w:val="004226A7"/>
    <w:rsid w:val="00423CF0"/>
    <w:rsid w:val="00426711"/>
    <w:rsid w:val="004348F7"/>
    <w:rsid w:val="0043788E"/>
    <w:rsid w:val="00445180"/>
    <w:rsid w:val="0044690D"/>
    <w:rsid w:val="00456FC9"/>
    <w:rsid w:val="00457314"/>
    <w:rsid w:val="00461626"/>
    <w:rsid w:val="0046336C"/>
    <w:rsid w:val="00474FC4"/>
    <w:rsid w:val="00482B6C"/>
    <w:rsid w:val="0048359B"/>
    <w:rsid w:val="00494901"/>
    <w:rsid w:val="004A089D"/>
    <w:rsid w:val="004A2F46"/>
    <w:rsid w:val="004B3819"/>
    <w:rsid w:val="004B6522"/>
    <w:rsid w:val="004B6F29"/>
    <w:rsid w:val="004C01F5"/>
    <w:rsid w:val="004C0CC4"/>
    <w:rsid w:val="004C1CD0"/>
    <w:rsid w:val="004C219C"/>
    <w:rsid w:val="004C36A9"/>
    <w:rsid w:val="004C4CD3"/>
    <w:rsid w:val="004D102B"/>
    <w:rsid w:val="004D161E"/>
    <w:rsid w:val="004D3357"/>
    <w:rsid w:val="004E0C14"/>
    <w:rsid w:val="004E1876"/>
    <w:rsid w:val="004E49D0"/>
    <w:rsid w:val="004E651A"/>
    <w:rsid w:val="004E69E9"/>
    <w:rsid w:val="004F45B7"/>
    <w:rsid w:val="004F64A9"/>
    <w:rsid w:val="005070A5"/>
    <w:rsid w:val="00510120"/>
    <w:rsid w:val="005127B1"/>
    <w:rsid w:val="0051409E"/>
    <w:rsid w:val="00517B6B"/>
    <w:rsid w:val="005223B7"/>
    <w:rsid w:val="0052356D"/>
    <w:rsid w:val="00537D4B"/>
    <w:rsid w:val="0054213C"/>
    <w:rsid w:val="00544532"/>
    <w:rsid w:val="0054750F"/>
    <w:rsid w:val="00556613"/>
    <w:rsid w:val="00561B5D"/>
    <w:rsid w:val="00574741"/>
    <w:rsid w:val="00575801"/>
    <w:rsid w:val="00580191"/>
    <w:rsid w:val="00581DBD"/>
    <w:rsid w:val="00586B4E"/>
    <w:rsid w:val="00587A72"/>
    <w:rsid w:val="00595A4B"/>
    <w:rsid w:val="00595EB2"/>
    <w:rsid w:val="005A6499"/>
    <w:rsid w:val="005B26AB"/>
    <w:rsid w:val="005C3A76"/>
    <w:rsid w:val="005C457A"/>
    <w:rsid w:val="005C7E8C"/>
    <w:rsid w:val="005D0316"/>
    <w:rsid w:val="005D0F1F"/>
    <w:rsid w:val="005D4AED"/>
    <w:rsid w:val="005E53AD"/>
    <w:rsid w:val="005F0BE4"/>
    <w:rsid w:val="00605666"/>
    <w:rsid w:val="00605B8A"/>
    <w:rsid w:val="00614EC9"/>
    <w:rsid w:val="00617295"/>
    <w:rsid w:val="00626239"/>
    <w:rsid w:val="0062746F"/>
    <w:rsid w:val="006324D2"/>
    <w:rsid w:val="00634E8B"/>
    <w:rsid w:val="006377BC"/>
    <w:rsid w:val="0064142F"/>
    <w:rsid w:val="006441D1"/>
    <w:rsid w:val="006443E9"/>
    <w:rsid w:val="006564CA"/>
    <w:rsid w:val="00665A0E"/>
    <w:rsid w:val="006718EB"/>
    <w:rsid w:val="0067295D"/>
    <w:rsid w:val="00676BBB"/>
    <w:rsid w:val="006820D7"/>
    <w:rsid w:val="006858BD"/>
    <w:rsid w:val="006905F3"/>
    <w:rsid w:val="00694B2E"/>
    <w:rsid w:val="006977D4"/>
    <w:rsid w:val="006A1391"/>
    <w:rsid w:val="006B0292"/>
    <w:rsid w:val="006C4F37"/>
    <w:rsid w:val="006C57D4"/>
    <w:rsid w:val="006C641D"/>
    <w:rsid w:val="006C7390"/>
    <w:rsid w:val="006D50D4"/>
    <w:rsid w:val="006F3FCC"/>
    <w:rsid w:val="006F531F"/>
    <w:rsid w:val="006F675C"/>
    <w:rsid w:val="00701770"/>
    <w:rsid w:val="00702853"/>
    <w:rsid w:val="007109F5"/>
    <w:rsid w:val="00715614"/>
    <w:rsid w:val="00720881"/>
    <w:rsid w:val="00721CDA"/>
    <w:rsid w:val="00725F76"/>
    <w:rsid w:val="00742928"/>
    <w:rsid w:val="00752559"/>
    <w:rsid w:val="00770C6E"/>
    <w:rsid w:val="00781B7B"/>
    <w:rsid w:val="007A01E5"/>
    <w:rsid w:val="007B5C9A"/>
    <w:rsid w:val="007B6C8D"/>
    <w:rsid w:val="007E6677"/>
    <w:rsid w:val="008060C0"/>
    <w:rsid w:val="008060C8"/>
    <w:rsid w:val="0081063B"/>
    <w:rsid w:val="008172D1"/>
    <w:rsid w:val="00823967"/>
    <w:rsid w:val="00851E57"/>
    <w:rsid w:val="00853AE1"/>
    <w:rsid w:val="008542A8"/>
    <w:rsid w:val="00862D5A"/>
    <w:rsid w:val="00874089"/>
    <w:rsid w:val="00875AA4"/>
    <w:rsid w:val="0088260E"/>
    <w:rsid w:val="0088741A"/>
    <w:rsid w:val="008927A8"/>
    <w:rsid w:val="008B2642"/>
    <w:rsid w:val="008B2D1E"/>
    <w:rsid w:val="008B2D4D"/>
    <w:rsid w:val="008C00A6"/>
    <w:rsid w:val="008C40B1"/>
    <w:rsid w:val="008D2005"/>
    <w:rsid w:val="008D3743"/>
    <w:rsid w:val="008D46BB"/>
    <w:rsid w:val="008D5C8C"/>
    <w:rsid w:val="008D65C8"/>
    <w:rsid w:val="008E3BC9"/>
    <w:rsid w:val="008E3DB2"/>
    <w:rsid w:val="008F4036"/>
    <w:rsid w:val="008F4140"/>
    <w:rsid w:val="008F519E"/>
    <w:rsid w:val="008F7AD8"/>
    <w:rsid w:val="00902032"/>
    <w:rsid w:val="00905709"/>
    <w:rsid w:val="0092473A"/>
    <w:rsid w:val="00926652"/>
    <w:rsid w:val="00931CE3"/>
    <w:rsid w:val="00941463"/>
    <w:rsid w:val="00942C33"/>
    <w:rsid w:val="009445F8"/>
    <w:rsid w:val="009514CD"/>
    <w:rsid w:val="00955442"/>
    <w:rsid w:val="00960191"/>
    <w:rsid w:val="00960AAF"/>
    <w:rsid w:val="009656FA"/>
    <w:rsid w:val="00965CE1"/>
    <w:rsid w:val="009719DC"/>
    <w:rsid w:val="0097343C"/>
    <w:rsid w:val="00982B37"/>
    <w:rsid w:val="00991E60"/>
    <w:rsid w:val="00993910"/>
    <w:rsid w:val="00995925"/>
    <w:rsid w:val="009A06E1"/>
    <w:rsid w:val="009A496D"/>
    <w:rsid w:val="009B382D"/>
    <w:rsid w:val="009B42EF"/>
    <w:rsid w:val="009B437A"/>
    <w:rsid w:val="009B5FAE"/>
    <w:rsid w:val="009C0D6E"/>
    <w:rsid w:val="009C3A99"/>
    <w:rsid w:val="009C4D16"/>
    <w:rsid w:val="009C5A28"/>
    <w:rsid w:val="009C5C44"/>
    <w:rsid w:val="009C6B00"/>
    <w:rsid w:val="009D3763"/>
    <w:rsid w:val="009E4105"/>
    <w:rsid w:val="009E4F97"/>
    <w:rsid w:val="00A035CE"/>
    <w:rsid w:val="00A036B4"/>
    <w:rsid w:val="00A1107A"/>
    <w:rsid w:val="00A14DBD"/>
    <w:rsid w:val="00A22F0A"/>
    <w:rsid w:val="00A23974"/>
    <w:rsid w:val="00A3221D"/>
    <w:rsid w:val="00A332B9"/>
    <w:rsid w:val="00A37558"/>
    <w:rsid w:val="00A40DC4"/>
    <w:rsid w:val="00A44E24"/>
    <w:rsid w:val="00A50018"/>
    <w:rsid w:val="00A57270"/>
    <w:rsid w:val="00A576A4"/>
    <w:rsid w:val="00A65B95"/>
    <w:rsid w:val="00A73B4A"/>
    <w:rsid w:val="00A75E0B"/>
    <w:rsid w:val="00A86C4D"/>
    <w:rsid w:val="00A9206B"/>
    <w:rsid w:val="00A92C0A"/>
    <w:rsid w:val="00AA31AB"/>
    <w:rsid w:val="00AB156D"/>
    <w:rsid w:val="00AB3A83"/>
    <w:rsid w:val="00AC0562"/>
    <w:rsid w:val="00AD3F39"/>
    <w:rsid w:val="00AD5298"/>
    <w:rsid w:val="00AD627E"/>
    <w:rsid w:val="00AE428E"/>
    <w:rsid w:val="00AE6B17"/>
    <w:rsid w:val="00AE6C72"/>
    <w:rsid w:val="00AE7CF2"/>
    <w:rsid w:val="00AF0E02"/>
    <w:rsid w:val="00AF4DC4"/>
    <w:rsid w:val="00B02D2E"/>
    <w:rsid w:val="00B046F4"/>
    <w:rsid w:val="00B0576E"/>
    <w:rsid w:val="00B10D3A"/>
    <w:rsid w:val="00B206BF"/>
    <w:rsid w:val="00B260BF"/>
    <w:rsid w:val="00B35986"/>
    <w:rsid w:val="00B3607F"/>
    <w:rsid w:val="00B56B37"/>
    <w:rsid w:val="00B57EBD"/>
    <w:rsid w:val="00B57F7F"/>
    <w:rsid w:val="00B70A14"/>
    <w:rsid w:val="00B7119E"/>
    <w:rsid w:val="00B80EF3"/>
    <w:rsid w:val="00B92407"/>
    <w:rsid w:val="00B938D5"/>
    <w:rsid w:val="00B9521A"/>
    <w:rsid w:val="00BA2964"/>
    <w:rsid w:val="00BA3CCC"/>
    <w:rsid w:val="00BA626E"/>
    <w:rsid w:val="00BB030A"/>
    <w:rsid w:val="00BB0B0A"/>
    <w:rsid w:val="00BB16BE"/>
    <w:rsid w:val="00BB5ED1"/>
    <w:rsid w:val="00BB75BF"/>
    <w:rsid w:val="00BD4DFD"/>
    <w:rsid w:val="00BD568E"/>
    <w:rsid w:val="00BD7455"/>
    <w:rsid w:val="00BE6C89"/>
    <w:rsid w:val="00BF4B30"/>
    <w:rsid w:val="00BF7675"/>
    <w:rsid w:val="00C014B5"/>
    <w:rsid w:val="00C01D0A"/>
    <w:rsid w:val="00C1086A"/>
    <w:rsid w:val="00C15965"/>
    <w:rsid w:val="00C20860"/>
    <w:rsid w:val="00C2157E"/>
    <w:rsid w:val="00C2566F"/>
    <w:rsid w:val="00C30BA2"/>
    <w:rsid w:val="00C31B70"/>
    <w:rsid w:val="00C34908"/>
    <w:rsid w:val="00C42DC4"/>
    <w:rsid w:val="00C525D8"/>
    <w:rsid w:val="00C553EE"/>
    <w:rsid w:val="00C55DF1"/>
    <w:rsid w:val="00C55F0D"/>
    <w:rsid w:val="00C56BF5"/>
    <w:rsid w:val="00C621A5"/>
    <w:rsid w:val="00C631E0"/>
    <w:rsid w:val="00C74074"/>
    <w:rsid w:val="00C83A9F"/>
    <w:rsid w:val="00C91F11"/>
    <w:rsid w:val="00C92470"/>
    <w:rsid w:val="00C957B0"/>
    <w:rsid w:val="00CA42D7"/>
    <w:rsid w:val="00CB0546"/>
    <w:rsid w:val="00CB1D0F"/>
    <w:rsid w:val="00CC4FEC"/>
    <w:rsid w:val="00CD18F2"/>
    <w:rsid w:val="00CD5BEC"/>
    <w:rsid w:val="00CE194E"/>
    <w:rsid w:val="00CF2E6C"/>
    <w:rsid w:val="00CF42D0"/>
    <w:rsid w:val="00CF7D71"/>
    <w:rsid w:val="00D0199F"/>
    <w:rsid w:val="00D037F8"/>
    <w:rsid w:val="00D04F95"/>
    <w:rsid w:val="00D06D9B"/>
    <w:rsid w:val="00D11672"/>
    <w:rsid w:val="00D1299A"/>
    <w:rsid w:val="00D166A0"/>
    <w:rsid w:val="00D2675B"/>
    <w:rsid w:val="00D30BC0"/>
    <w:rsid w:val="00D41B63"/>
    <w:rsid w:val="00D4371A"/>
    <w:rsid w:val="00D56855"/>
    <w:rsid w:val="00D56FDF"/>
    <w:rsid w:val="00D612EA"/>
    <w:rsid w:val="00D66702"/>
    <w:rsid w:val="00D714A5"/>
    <w:rsid w:val="00D71776"/>
    <w:rsid w:val="00D75900"/>
    <w:rsid w:val="00D81901"/>
    <w:rsid w:val="00D81C2F"/>
    <w:rsid w:val="00D83D92"/>
    <w:rsid w:val="00D90B7B"/>
    <w:rsid w:val="00DA1E57"/>
    <w:rsid w:val="00DA2F93"/>
    <w:rsid w:val="00DA7D3A"/>
    <w:rsid w:val="00DB0B40"/>
    <w:rsid w:val="00DB12B6"/>
    <w:rsid w:val="00DB1EA3"/>
    <w:rsid w:val="00DB5FD3"/>
    <w:rsid w:val="00DC1F93"/>
    <w:rsid w:val="00DC2A58"/>
    <w:rsid w:val="00DD3945"/>
    <w:rsid w:val="00DD463A"/>
    <w:rsid w:val="00DD5721"/>
    <w:rsid w:val="00DE05CF"/>
    <w:rsid w:val="00DE0773"/>
    <w:rsid w:val="00DE129A"/>
    <w:rsid w:val="00DE1864"/>
    <w:rsid w:val="00DE373E"/>
    <w:rsid w:val="00E01776"/>
    <w:rsid w:val="00E031CB"/>
    <w:rsid w:val="00E16C8E"/>
    <w:rsid w:val="00E25D82"/>
    <w:rsid w:val="00E27BC6"/>
    <w:rsid w:val="00E30904"/>
    <w:rsid w:val="00E43D08"/>
    <w:rsid w:val="00E461CC"/>
    <w:rsid w:val="00E47F7C"/>
    <w:rsid w:val="00E51D40"/>
    <w:rsid w:val="00E56B75"/>
    <w:rsid w:val="00E654C3"/>
    <w:rsid w:val="00E7457F"/>
    <w:rsid w:val="00E77567"/>
    <w:rsid w:val="00E82C1E"/>
    <w:rsid w:val="00E90394"/>
    <w:rsid w:val="00EB60D8"/>
    <w:rsid w:val="00EC0977"/>
    <w:rsid w:val="00EC0BE7"/>
    <w:rsid w:val="00EC2E49"/>
    <w:rsid w:val="00ED07BF"/>
    <w:rsid w:val="00ED0A0C"/>
    <w:rsid w:val="00ED3408"/>
    <w:rsid w:val="00ED421E"/>
    <w:rsid w:val="00EE2528"/>
    <w:rsid w:val="00EE3BC3"/>
    <w:rsid w:val="00F07182"/>
    <w:rsid w:val="00F13A53"/>
    <w:rsid w:val="00F14AD8"/>
    <w:rsid w:val="00F15533"/>
    <w:rsid w:val="00F20BD5"/>
    <w:rsid w:val="00F23966"/>
    <w:rsid w:val="00F27D02"/>
    <w:rsid w:val="00F31942"/>
    <w:rsid w:val="00F34AFA"/>
    <w:rsid w:val="00F40187"/>
    <w:rsid w:val="00F50BEB"/>
    <w:rsid w:val="00F5594A"/>
    <w:rsid w:val="00F67147"/>
    <w:rsid w:val="00F946EA"/>
    <w:rsid w:val="00F96DE3"/>
    <w:rsid w:val="00F97C5B"/>
    <w:rsid w:val="00FA1C74"/>
    <w:rsid w:val="00FB4B54"/>
    <w:rsid w:val="00FB4D6A"/>
    <w:rsid w:val="00FC65B7"/>
    <w:rsid w:val="00FD0314"/>
    <w:rsid w:val="00FD0C29"/>
    <w:rsid w:val="00FD3E1F"/>
    <w:rsid w:val="00FD7D3C"/>
    <w:rsid w:val="00FE131C"/>
    <w:rsid w:val="00FE60FC"/>
    <w:rsid w:val="00FF1B44"/>
    <w:rsid w:val="00FF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E5B5E"/>
  <w15:docId w15:val="{4E4CD6C5-2EB7-4F7F-B241-65C3A8E6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C8C"/>
    <w:pPr>
      <w:spacing w:line="480" w:lineRule="auto"/>
      <w:jc w:val="both"/>
    </w:pPr>
    <w:rPr>
      <w:rFonts w:ascii="Times New Roman" w:eastAsia="Liberation Serif" w:hAnsi="Times New Roman" w:cs="Liberation Serif"/>
      <w:sz w:val="24"/>
      <w:lang w:val="id"/>
    </w:rPr>
  </w:style>
  <w:style w:type="paragraph" w:styleId="Heading1">
    <w:name w:val="heading 1"/>
    <w:basedOn w:val="Normal"/>
    <w:link w:val="Heading1Char"/>
    <w:uiPriority w:val="9"/>
    <w:qFormat/>
    <w:rsid w:val="00203B8E"/>
    <w:pPr>
      <w:spacing w:before="1"/>
      <w:ind w:left="333" w:right="32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426" w:hanging="360"/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107A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107A"/>
    <w:pPr>
      <w:keepNext/>
      <w:keepLines/>
      <w:spacing w:before="40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A31AB"/>
    <w:pPr>
      <w:keepNext/>
      <w:keepLines/>
      <w:spacing w:before="40"/>
      <w:outlineLvl w:val="4"/>
    </w:pPr>
    <w:rPr>
      <w:rFonts w:eastAsiaTheme="majorEastAsia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66" w:right="58"/>
    </w:pPr>
    <w:rPr>
      <w:szCs w:val="24"/>
    </w:rPr>
  </w:style>
  <w:style w:type="paragraph" w:styleId="ListParagraph">
    <w:name w:val="List Paragraph"/>
    <w:basedOn w:val="Normal"/>
    <w:uiPriority w:val="34"/>
    <w:qFormat/>
    <w:pPr>
      <w:ind w:left="1200" w:right="58" w:hanging="240"/>
    </w:pPr>
  </w:style>
  <w:style w:type="paragraph" w:customStyle="1" w:styleId="TableParagraph">
    <w:name w:val="Table Paragraph"/>
    <w:basedOn w:val="Normal"/>
    <w:uiPriority w:val="1"/>
    <w:qFormat/>
    <w:pPr>
      <w:spacing w:before="79"/>
      <w:ind w:left="12"/>
      <w:jc w:val="center"/>
    </w:pPr>
  </w:style>
  <w:style w:type="paragraph" w:styleId="NormalWeb">
    <w:name w:val="Normal (Web)"/>
    <w:basedOn w:val="Normal"/>
    <w:uiPriority w:val="99"/>
    <w:unhideWhenUsed/>
    <w:rsid w:val="000C1130"/>
    <w:pPr>
      <w:widowControl/>
      <w:autoSpaceDE/>
      <w:autoSpaceDN/>
      <w:ind w:firstLine="720"/>
    </w:pPr>
    <w:rPr>
      <w:rFonts w:eastAsiaTheme="minorEastAsia" w:cs="Times New Roman"/>
      <w:szCs w:val="24"/>
      <w:lang w:val="en-US"/>
    </w:rPr>
  </w:style>
  <w:style w:type="paragraph" w:customStyle="1" w:styleId="table-source">
    <w:name w:val="table-source"/>
    <w:basedOn w:val="Normal"/>
    <w:rsid w:val="000C1130"/>
    <w:pPr>
      <w:widowControl/>
      <w:autoSpaceDE/>
      <w:autoSpaceDN/>
      <w:spacing w:after="360"/>
      <w:jc w:val="center"/>
    </w:pPr>
    <w:rPr>
      <w:rFonts w:eastAsiaTheme="minorEastAsia" w:cs="Times New Roman"/>
      <w:i/>
      <w:i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0C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E6677"/>
    <w:rPr>
      <w:i/>
      <w:iCs/>
    </w:rPr>
  </w:style>
  <w:style w:type="character" w:styleId="Hyperlink">
    <w:name w:val="Hyperlink"/>
    <w:basedOn w:val="DefaultParagraphFont"/>
    <w:uiPriority w:val="99"/>
    <w:unhideWhenUsed/>
    <w:rsid w:val="007E6677"/>
    <w:rPr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E25D82"/>
    <w:pPr>
      <w:ind w:left="3129" w:right="2438" w:firstLine="984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E25D82"/>
    <w:rPr>
      <w:rFonts w:ascii="Liberation Serif" w:eastAsia="Liberation Serif" w:hAnsi="Liberation Serif" w:cs="Liberation Serif"/>
      <w:b/>
      <w:bCs/>
      <w:sz w:val="28"/>
      <w:szCs w:val="28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F5594A"/>
    <w:rPr>
      <w:rFonts w:ascii="Liberation Serif" w:eastAsia="Liberation Serif" w:hAnsi="Liberation Serif" w:cs="Liberation Serif"/>
      <w:sz w:val="24"/>
      <w:szCs w:val="24"/>
      <w:lang w:val="id"/>
    </w:rPr>
  </w:style>
  <w:style w:type="character" w:styleId="CommentReference">
    <w:name w:val="annotation reference"/>
    <w:basedOn w:val="DefaultParagraphFont"/>
    <w:uiPriority w:val="99"/>
    <w:semiHidden/>
    <w:unhideWhenUsed/>
    <w:rsid w:val="009E41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1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105"/>
    <w:rPr>
      <w:rFonts w:ascii="Liberation Serif" w:eastAsia="Liberation Serif" w:hAnsi="Liberation Serif" w:cs="Liberation Serif"/>
      <w:sz w:val="20"/>
      <w:szCs w:val="20"/>
      <w:lang w:val="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1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105"/>
    <w:rPr>
      <w:rFonts w:ascii="Liberation Serif" w:eastAsia="Liberation Serif" w:hAnsi="Liberation Serif" w:cs="Liberation Serif"/>
      <w:b/>
      <w:bCs/>
      <w:sz w:val="20"/>
      <w:szCs w:val="20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203B8E"/>
    <w:rPr>
      <w:rFonts w:ascii="Times New Roman" w:eastAsia="Liberation Serif" w:hAnsi="Times New Roman" w:cs="Liberation Serif"/>
      <w:b/>
      <w:bCs/>
      <w:sz w:val="28"/>
      <w:szCs w:val="28"/>
      <w:lang w:val="id"/>
    </w:rPr>
  </w:style>
  <w:style w:type="character" w:styleId="PlaceholderText">
    <w:name w:val="Placeholder Text"/>
    <w:basedOn w:val="DefaultParagraphFont"/>
    <w:uiPriority w:val="99"/>
    <w:semiHidden/>
    <w:rsid w:val="00CD5BEC"/>
    <w:rPr>
      <w:color w:val="808080"/>
    </w:rPr>
  </w:style>
  <w:style w:type="paragraph" w:customStyle="1" w:styleId="msonormal0">
    <w:name w:val="msonormal"/>
    <w:basedOn w:val="Normal"/>
    <w:rsid w:val="000B12BA"/>
    <w:pPr>
      <w:widowControl/>
      <w:autoSpaceDE/>
      <w:autoSpaceDN/>
      <w:spacing w:before="100" w:beforeAutospacing="1" w:after="100" w:afterAutospacing="1"/>
    </w:pPr>
    <w:rPr>
      <w:rFonts w:eastAsiaTheme="minorEastAsia" w:cs="Times New Roman"/>
      <w:szCs w:val="24"/>
      <w:lang w:val="en-ID" w:eastAsia="en-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3A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3A9F"/>
    <w:rPr>
      <w:rFonts w:ascii="Liberation Serif" w:eastAsia="Liberation Serif" w:hAnsi="Liberation Serif" w:cs="Liberation Serif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C83A9F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AF4DC4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1107A"/>
    <w:rPr>
      <w:rFonts w:ascii="Times New Roman" w:eastAsiaTheme="majorEastAsia" w:hAnsi="Times New Roman" w:cstheme="majorBidi"/>
      <w:b/>
      <w:color w:val="000000" w:themeColor="text1"/>
      <w:sz w:val="24"/>
      <w:szCs w:val="24"/>
      <w:lang w:val="id"/>
    </w:rPr>
  </w:style>
  <w:style w:type="character" w:customStyle="1" w:styleId="Heading4Char">
    <w:name w:val="Heading 4 Char"/>
    <w:basedOn w:val="DefaultParagraphFont"/>
    <w:link w:val="Heading4"/>
    <w:uiPriority w:val="9"/>
    <w:rsid w:val="00A1107A"/>
    <w:rPr>
      <w:rFonts w:ascii="Times New Roman" w:eastAsiaTheme="majorEastAsia" w:hAnsi="Times New Roman" w:cstheme="majorBidi"/>
      <w:b/>
      <w:iCs/>
      <w:color w:val="000000" w:themeColor="text1"/>
      <w:sz w:val="24"/>
      <w:lang w:val="id"/>
    </w:rPr>
  </w:style>
  <w:style w:type="paragraph" w:styleId="Footer">
    <w:name w:val="footer"/>
    <w:basedOn w:val="Normal"/>
    <w:link w:val="FooterChar"/>
    <w:uiPriority w:val="99"/>
    <w:unhideWhenUsed/>
    <w:rsid w:val="00203B8E"/>
    <w:pPr>
      <w:widowControl/>
      <w:tabs>
        <w:tab w:val="center" w:pos="4513"/>
        <w:tab w:val="right" w:pos="9026"/>
      </w:tabs>
      <w:autoSpaceDE/>
      <w:autoSpaceDN/>
      <w:spacing w:line="240" w:lineRule="auto"/>
    </w:pPr>
    <w:rPr>
      <w:rFonts w:eastAsiaTheme="minorHAnsi" w:cstheme="minorBidi"/>
      <w:noProof/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203B8E"/>
    <w:rPr>
      <w:rFonts w:ascii="Times New Roman" w:hAnsi="Times New Roman"/>
      <w:noProof/>
      <w:sz w:val="24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rsid w:val="00AA31AB"/>
    <w:rPr>
      <w:rFonts w:ascii="Times New Roman" w:eastAsiaTheme="majorEastAsia" w:hAnsi="Times New Roman" w:cstheme="majorBidi"/>
      <w:color w:val="000000" w:themeColor="text1"/>
      <w:sz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3759E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9E4"/>
    <w:rPr>
      <w:rFonts w:ascii="Times New Roman" w:eastAsia="Liberation Serif" w:hAnsi="Times New Roman" w:cs="Liberation Serif"/>
      <w:sz w:val="24"/>
      <w:lang w:val="id"/>
    </w:rPr>
  </w:style>
  <w:style w:type="paragraph" w:styleId="TOCHeading">
    <w:name w:val="TOC Heading"/>
    <w:basedOn w:val="Heading1"/>
    <w:next w:val="Normal"/>
    <w:uiPriority w:val="39"/>
    <w:unhideWhenUsed/>
    <w:qFormat/>
    <w:rsid w:val="009C5C44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80191"/>
    <w:pPr>
      <w:tabs>
        <w:tab w:val="right" w:leader="dot" w:pos="7941"/>
      </w:tabs>
      <w:spacing w:after="100"/>
    </w:pPr>
    <w:rPr>
      <w:b/>
      <w:bCs/>
      <w:noProof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C5C4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C5C44"/>
    <w:pPr>
      <w:spacing w:after="100"/>
      <w:ind w:left="480"/>
    </w:pPr>
  </w:style>
  <w:style w:type="paragraph" w:styleId="TableofFigures">
    <w:name w:val="table of figures"/>
    <w:basedOn w:val="Normal"/>
    <w:next w:val="Normal"/>
    <w:uiPriority w:val="99"/>
    <w:unhideWhenUsed/>
    <w:rsid w:val="009C5C44"/>
  </w:style>
  <w:style w:type="table" w:customStyle="1" w:styleId="TableGrid1">
    <w:name w:val="Table Grid1"/>
    <w:basedOn w:val="TableNormal"/>
    <w:next w:val="TableGrid"/>
    <w:uiPriority w:val="39"/>
    <w:rsid w:val="00A1107A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580191"/>
    <w:pPr>
      <w:widowControl/>
      <w:autoSpaceDE/>
      <w:autoSpaceDN/>
      <w:spacing w:after="100" w:line="259" w:lineRule="auto"/>
      <w:ind w:left="660"/>
      <w:jc w:val="left"/>
    </w:pPr>
    <w:rPr>
      <w:rFonts w:asciiTheme="minorHAnsi" w:eastAsiaTheme="minorEastAsia" w:hAnsiTheme="minorHAnsi" w:cstheme="minorBidi"/>
      <w:sz w:val="22"/>
      <w:lang w:val="en-ID" w:eastAsia="en-ID"/>
    </w:rPr>
  </w:style>
  <w:style w:type="paragraph" w:styleId="TOC5">
    <w:name w:val="toc 5"/>
    <w:basedOn w:val="Normal"/>
    <w:next w:val="Normal"/>
    <w:autoRedefine/>
    <w:uiPriority w:val="39"/>
    <w:unhideWhenUsed/>
    <w:rsid w:val="00580191"/>
    <w:pPr>
      <w:widowControl/>
      <w:autoSpaceDE/>
      <w:autoSpaceDN/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lang w:val="en-ID"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580191"/>
    <w:pPr>
      <w:widowControl/>
      <w:autoSpaceDE/>
      <w:autoSpaceDN/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lang w:val="en-ID"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580191"/>
    <w:pPr>
      <w:widowControl/>
      <w:autoSpaceDE/>
      <w:autoSpaceDN/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lang w:val="en-ID"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580191"/>
    <w:pPr>
      <w:widowControl/>
      <w:autoSpaceDE/>
      <w:autoSpaceDN/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lang w:val="en-ID"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580191"/>
    <w:pPr>
      <w:widowControl/>
      <w:autoSpaceDE/>
      <w:autoSpaceDN/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lang w:val="en-ID" w:eastAsia="en-ID"/>
    </w:rPr>
  </w:style>
  <w:style w:type="character" w:styleId="UnresolvedMention">
    <w:name w:val="Unresolved Mention"/>
    <w:basedOn w:val="DefaultParagraphFont"/>
    <w:uiPriority w:val="99"/>
    <w:semiHidden/>
    <w:unhideWhenUsed/>
    <w:rsid w:val="005801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E1D3563-DEDA-46B7-AC44-A48A273F013D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{&quot;citationID&quot;:&quot;MENDELEY_CITATION_42d78d09-97a0-46ae-b799-69fdbbfc8808&quot;,&quot;properties&quot;:{&quot;noteIndex&quot;:0},&quot;isEdited&quot;:false,&quot;manualOverride&quot;:{&quot;isManuallyOverridden&quot;:false,&quot;citeprocText&quot;:&quot;(Freeman et al., 2021)&quot;,&quot;manualOverrideText&quot;:&quot;&quot;},&quot;citationTag&quot;:&quot;MENDELEY_CITATION_v3_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&quot;,&quot;citationItems&quot;:[{&quot;id&quot;:&quot;b3a94aac-9f54-37f1-a179-8bdfb34f828e&quot;,&quot;itemData&quot;:{&quot;type&quot;:&quot;article-journal&quot;,&quot;id&quot;:&quot;b3a94aac-9f54-37f1-a179-8bdfb34f828e&quot;,&quot;title&quot;:&quot;Stakeholder theory and the resource-based view of the firm&quot;,&quot;author&quot;:[{&quot;family&quot;:&quot;Freeman&quot;,&quot;given&quot;:&quot;R Edward&quot;,&quot;parse-names&quot;:false,&quot;dropping-particle&quot;:&quot;&quot;,&quot;non-dropping-particle&quot;:&quot;&quot;},{&quot;family&quot;:&quot;Dmytriyev&quot;,&quot;given&quot;:&quot;Sergiy D&quot;,&quot;parse-names&quot;:false,&quot;dropping-particle&quot;:&quot;&quot;,&quot;non-dropping-particle&quot;:&quot;&quot;},{&quot;family&quot;:&quot;Phillips&quot;,&quot;given&quot;:&quot;Robert A&quot;,&quot;parse-names&quot;:false,&quot;dropping-particle&quot;:&quot;&quot;,&quot;non-dropping-particle&quot;:&quot;&quot;}],&quot;container-title&quot;:&quot;Journal of management&quot;,&quot;container-title-short&quot;:&quot;J. Manage.&quot;,&quot;ISSN&quot;:&quot;0149-2063&quot;,&quot;issued&quot;:{&quot;date-parts&quot;:[[2021,9]]},&quot;page&quot;:&quot;1757-1770&quot;,&quot;language&quot;:&quot;English&quot;,&quot;publisher&quot;:&quot;SAGE Publications Sage CA: Los Angeles, CA&quot;,&quot;issue&quot;:&quot;7&quot;,&quot;volume&quot;:&quot;47&quot;},&quot;isTemporary&quot;:false}]}]"/>
    <we:property name="MENDELEY_CITATIONS_STYLE" value="{&quot;id&quot;:&quot;https://www.zotero.org/styles/apa&quot;,&quot;title&quot;:&quot;APA Style 7th edition&quot;,&quot;format&quot;:&quot;author-date&quot;,&quot;defaultLocale&quot;:null,&quot;isLocaleCodeValid&quot;:true}"/>
    <we:property name="MENDELEY_BIBLIOGRAPHY_IS_DIRTY" value="false"/>
    <we:property name="MENDELEY_BIBLIOGRAPHY_LAST_MODIFIED" value="1782040634938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7B24B-DABF-4109-9AF2-F56A86A12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5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I SKRIPSI - PENGARUH MANAGERIAL OWNERSHIP...</vt:lpstr>
    </vt:vector>
  </TitlesOfParts>
  <Company/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I SKRIPSI - PENGARUH MANAGERIAL OWNERSHIP...</dc:title>
  <dc:creator>FIO</dc:creator>
  <cp:lastModifiedBy>Dimas Rizal</cp:lastModifiedBy>
  <cp:revision>23</cp:revision>
  <cp:lastPrinted>2026-07-22T17:59:00Z</cp:lastPrinted>
  <dcterms:created xsi:type="dcterms:W3CDTF">2026-07-22T07:24:00Z</dcterms:created>
  <dcterms:modified xsi:type="dcterms:W3CDTF">2026-08-31T04:17:00Z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2026-05-12T00:00:00Z</vt:filetime>
  </property>
  <property fmtid="{D5CDD505-2E9C-101B-9397-08002B2CF9AE}" pid="4" name="Creator">
    <vt:lpwstr>Mozilla/5.0 (X11; Linux x86_64) AppleWebKit/537.36 (KHTML, like Gecko) HeadlessChrome/147.0.0.0 Safari/537.36</vt:lpwstr>
  </property>
  <property fmtid="{D5CDD505-2E9C-101B-9397-08002B2CF9AE}" pid="5" name="LastSaved">
    <vt:filetime>2026-05-12T00:00:00Z</vt:filetime>
  </property>
  <property fmtid="{D5CDD505-2E9C-101B-9397-08002B2CF9AE}" pid="6" name="Producer">
    <vt:lpwstr>Skia/PDF m147</vt:lpwstr>
  </property>
  <property fmtid="{D5CDD505-2E9C-101B-9397-08002B2CF9AE}" pid="7" name="Mendeley Recent Style Id 0_1">
    <vt:lpwstr>http://www.zotero.org/styles/american-medical-association</vt:lpwstr>
  </property>
  <property fmtid="{D5CDD505-2E9C-101B-9397-08002B2CF9AE}" pid="8" name="Mendeley Recent Style Name 0_1">
    <vt:lpwstr>AMA Manual of Style 11th edition</vt:lpwstr>
  </property>
  <property fmtid="{D5CDD505-2E9C-101B-9397-08002B2CF9AE}" pid="9" name="Mendeley Recent Style Id 1_1">
    <vt:lpwstr>http://www.zotero.org/styles/apa</vt:lpwstr>
  </property>
  <property fmtid="{D5CDD505-2E9C-101B-9397-08002B2CF9AE}" pid="10" name="Mendeley Recent Style Name 1_1">
    <vt:lpwstr>APA Style 7th edition</vt:lpwstr>
  </property>
  <property fmtid="{D5CDD505-2E9C-101B-9397-08002B2CF9AE}" pid="11" name="Mendeley Recent Style Id 2_1">
    <vt:lpwstr>http://www.zotero.org/styles/american-political-science-association</vt:lpwstr>
  </property>
  <property fmtid="{D5CDD505-2E9C-101B-9397-08002B2CF9AE}" pid="12" name="Mendeley Recent Style Name 2_1">
    <vt:lpwstr>APSA Style Manual revised 2018 edition</vt:lpwstr>
  </property>
  <property fmtid="{D5CDD505-2E9C-101B-9397-08002B2CF9AE}" pid="13" name="Mendeley Recent Style Id 3_1">
    <vt:lpwstr>http://www.zotero.org/styles/american-sociological-association</vt:lpwstr>
  </property>
  <property fmtid="{D5CDD505-2E9C-101B-9397-08002B2CF9AE}" pid="14" name="Mendeley Recent Style Name 3_1">
    <vt:lpwstr>ASA Style Guide 6th/7th edition</vt:lpwstr>
  </property>
  <property fmtid="{D5CDD505-2E9C-101B-9397-08002B2CF9AE}" pid="15" name="Mendeley Recent Style Id 4_1">
    <vt:lpwstr>http://www.zotero.org/styles/chicago-author-date</vt:lpwstr>
  </property>
  <property fmtid="{D5CDD505-2E9C-101B-9397-08002B2CF9AE}" pid="16" name="Mendeley Recent Style Name 4_1">
    <vt:lpwstr>Chicago Manual of Style 18th edition (author-date)</vt:lpwstr>
  </property>
  <property fmtid="{D5CDD505-2E9C-101B-9397-08002B2CF9AE}" pid="17" name="Mendeley Recent Style Id 5_1">
    <vt:lpwstr>http://www.zotero.org/styles/harvard-cite-them-right</vt:lpwstr>
  </property>
  <property fmtid="{D5CDD505-2E9C-101B-9397-08002B2CF9AE}" pid="18" name="Mendeley Recent Style Name 5_1">
    <vt:lpwstr>Cite Them Right 12th edition (author-date/Harvard)</vt:lpwstr>
  </property>
  <property fmtid="{D5CDD505-2E9C-101B-9397-08002B2CF9AE}" pid="19" name="Mendeley Recent Style Id 6_1">
    <vt:lpwstr>http://www.zotero.org/styles/ieee</vt:lpwstr>
  </property>
  <property fmtid="{D5CDD505-2E9C-101B-9397-08002B2CF9AE}" pid="20" name="Mendeley Recent Style Name 6_1">
    <vt:lpwstr>IEEE Reference Guide version 11.29.2023</vt:lpwstr>
  </property>
  <property fmtid="{D5CDD505-2E9C-101B-9397-08002B2CF9AE}" pid="21" name="Mendeley Recent Style Id 7_1">
    <vt:lpwstr>http://www.zotero.org/styles/modern-language-association</vt:lpwstr>
  </property>
  <property fmtid="{D5CDD505-2E9C-101B-9397-08002B2CF9AE}" pid="22" name="Mendeley Recent Style Name 7_1">
    <vt:lpwstr>MLA Handbook 9th edition (in-text citations)</vt:lpwstr>
  </property>
  <property fmtid="{D5CDD505-2E9C-101B-9397-08002B2CF9AE}" pid="23" name="Mendeley Recent Style Id 8_1">
    <vt:lpwstr>http://www.zotero.org/styles/modern-humanities-research-association</vt:lpwstr>
  </property>
  <property fmtid="{D5CDD505-2E9C-101B-9397-08002B2CF9AE}" pid="24" name="Mendeley Recent Style Name 8_1">
    <vt:lpwstr>Modern Humanities Research Association 3rd edition (note with bibliography)</vt:lpwstr>
  </property>
  <property fmtid="{D5CDD505-2E9C-101B-9397-08002B2CF9AE}" pid="25" name="Mendeley Recent Style Id 9_1">
    <vt:lpwstr>http://www.zotero.org/styles/nature</vt:lpwstr>
  </property>
  <property fmtid="{D5CDD505-2E9C-101B-9397-08002B2CF9AE}" pid="26" name="Mendeley Recent Style Name 9_1">
    <vt:lpwstr>Nature</vt:lpwstr>
  </property>
  <property fmtid="{D5CDD505-2E9C-101B-9397-08002B2CF9AE}" pid="27" name="Mendeley Document_1">
    <vt:lpwstr>True</vt:lpwstr>
  </property>
  <property fmtid="{D5CDD505-2E9C-101B-9397-08002B2CF9AE}" pid="28" name="Mendeley Citation Style_1">
    <vt:lpwstr>http://www.zotero.org/styles/apa</vt:lpwstr>
  </property>
  <property fmtid="{D5CDD505-2E9C-101B-9397-08002B2CF9AE}" pid="29" name="Mendeley Unique User Id_1">
    <vt:lpwstr>939fec86-319b-33f9-8e2a-3beff8e26467</vt:lpwstr>
  </property>
</Properties>
</file>