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1643" w14:textId="77777777" w:rsidR="00B10A78" w:rsidRPr="00D10EDA" w:rsidRDefault="007434EE" w:rsidP="00D10EDA">
      <w:pPr>
        <w:pStyle w:val="Heading1"/>
      </w:pPr>
      <w:bookmarkStart w:id="0" w:name="_Toc236201053"/>
      <w:r w:rsidRPr="00D10EDA">
        <w:t>Daftar Pustaka</w:t>
      </w:r>
      <w:bookmarkEnd w:id="0"/>
    </w:p>
    <w:p w14:paraId="4DB3CC4D" w14:textId="77777777" w:rsidR="00FD366E" w:rsidRPr="00971568" w:rsidRDefault="007434EE" w:rsidP="00E54755">
      <w:pPr>
        <w:spacing w:line="240" w:lineRule="auto"/>
        <w:ind w:left="720" w:hanging="720"/>
        <w:rPr>
          <w:color w:val="000000" w:themeColor="text1"/>
        </w:rPr>
      </w:pPr>
      <w:r w:rsidRPr="00971568">
        <w:rPr>
          <w:color w:val="000000" w:themeColor="text1"/>
        </w:rPr>
        <w:t>Abdurrohim, Rahayu, S., &amp; Herawaty, N. (2026). Pengaruh Dewan Komisaris, Komite Audit, dan Ukuran Perusahaan terhadap Nilai Perusahaan dengan Profitabilitas sebagai Variabel Mediasi pada Perusahaan Infrastruktur di BEI. </w:t>
      </w:r>
      <w:r w:rsidRPr="00971568">
        <w:rPr>
          <w:i/>
          <w:iCs/>
          <w:color w:val="000000" w:themeColor="text1"/>
        </w:rPr>
        <w:t xml:space="preserve">JAKUMA: Jurnal </w:t>
      </w:r>
      <w:r w:rsidRPr="00971568">
        <w:rPr>
          <w:i/>
          <w:iCs/>
          <w:color w:val="000000" w:themeColor="text1"/>
        </w:rPr>
        <w:t>Akuntansi dan Manajemen Keuangan</w:t>
      </w:r>
      <w:r w:rsidRPr="00971568">
        <w:rPr>
          <w:color w:val="000000" w:themeColor="text1"/>
        </w:rPr>
        <w:t>, </w:t>
      </w:r>
      <w:r w:rsidRPr="00971568">
        <w:rPr>
          <w:i/>
          <w:iCs/>
          <w:color w:val="000000" w:themeColor="text1"/>
        </w:rPr>
        <w:t>6</w:t>
      </w:r>
      <w:r w:rsidRPr="00971568">
        <w:rPr>
          <w:color w:val="000000" w:themeColor="text1"/>
        </w:rPr>
        <w:t>(2), 320-330.</w:t>
      </w:r>
      <w:r w:rsidR="003416C0" w:rsidRPr="00971568">
        <w:rPr>
          <w:color w:val="000000" w:themeColor="text1"/>
        </w:rPr>
        <w:t xml:space="preserve"> </w:t>
      </w:r>
      <w:hyperlink r:id="rId7" w:history="1">
        <w:r w:rsidR="003416C0" w:rsidRPr="00971568">
          <w:rPr>
            <w:rStyle w:val="Hyperlink"/>
            <w:color w:val="000000" w:themeColor="text1"/>
            <w:u w:val="none"/>
          </w:rPr>
          <w:t>https://doi.org/10.31967/jakuma.v6i2.1773</w:t>
        </w:r>
      </w:hyperlink>
    </w:p>
    <w:p w14:paraId="05B17626" w14:textId="77777777" w:rsidR="00FD366E" w:rsidRPr="00971568" w:rsidRDefault="007434EE" w:rsidP="00E54755">
      <w:pPr>
        <w:spacing w:line="240" w:lineRule="auto"/>
        <w:ind w:left="720" w:hanging="720"/>
        <w:rPr>
          <w:color w:val="000000" w:themeColor="text1"/>
        </w:rPr>
      </w:pPr>
      <w:r w:rsidRPr="00971568">
        <w:rPr>
          <w:color w:val="000000" w:themeColor="text1"/>
        </w:rPr>
        <w:t>Adamolekun, G., &amp; Kyiu, A. (2025). Corporate carbon footprint and market valuation of restructuring announc</w:t>
      </w:r>
      <w:r w:rsidRPr="00971568">
        <w:rPr>
          <w:color w:val="000000" w:themeColor="text1"/>
        </w:rPr>
        <w:t>ements. Review of Quantitative Finance and Accounting, 64, 595–620.</w:t>
      </w:r>
      <w:r w:rsidR="003416C0" w:rsidRPr="00971568">
        <w:rPr>
          <w:color w:val="000000" w:themeColor="text1"/>
        </w:rPr>
        <w:t xml:space="preserve"> </w:t>
      </w:r>
      <w:hyperlink r:id="rId8" w:history="1">
        <w:r w:rsidR="003416C0" w:rsidRPr="00971568">
          <w:rPr>
            <w:rStyle w:val="Hyperlink"/>
            <w:color w:val="000000" w:themeColor="text1"/>
            <w:u w:val="none"/>
          </w:rPr>
          <w:t>https://doi.org/10.1007/s11156-024-01315-y</w:t>
        </w:r>
      </w:hyperlink>
    </w:p>
    <w:p w14:paraId="040E50EC" w14:textId="77777777" w:rsidR="00FD366E" w:rsidRPr="00971568" w:rsidRDefault="007434EE" w:rsidP="00681C13">
      <w:pPr>
        <w:spacing w:line="240" w:lineRule="auto"/>
        <w:ind w:left="720" w:hanging="720"/>
        <w:rPr>
          <w:color w:val="000000" w:themeColor="text1"/>
        </w:rPr>
      </w:pPr>
      <w:r w:rsidRPr="00971568">
        <w:rPr>
          <w:color w:val="000000" w:themeColor="text1"/>
        </w:rPr>
        <w:t>Agyemang-Mintah, P., &amp; Schadewitz, H. (2019). Gender diversity and firm value: evidenc</w:t>
      </w:r>
      <w:r w:rsidRPr="00971568">
        <w:rPr>
          <w:color w:val="000000" w:themeColor="text1"/>
        </w:rPr>
        <w:t>e from UK financial institutions. </w:t>
      </w:r>
      <w:r w:rsidRPr="00971568">
        <w:rPr>
          <w:i/>
          <w:iCs/>
          <w:color w:val="000000" w:themeColor="text1"/>
        </w:rPr>
        <w:t>International Journal of Accounting &amp; Information Management</w:t>
      </w:r>
      <w:r w:rsidRPr="00971568">
        <w:rPr>
          <w:color w:val="000000" w:themeColor="text1"/>
        </w:rPr>
        <w:t>, </w:t>
      </w:r>
      <w:r w:rsidRPr="00971568">
        <w:rPr>
          <w:i/>
          <w:iCs/>
          <w:color w:val="000000" w:themeColor="text1"/>
        </w:rPr>
        <w:t>27</w:t>
      </w:r>
      <w:r w:rsidRPr="00971568">
        <w:rPr>
          <w:color w:val="000000" w:themeColor="text1"/>
        </w:rPr>
        <w:t>(1), 2-26.</w:t>
      </w:r>
      <w:r w:rsidR="003416C0" w:rsidRPr="00971568">
        <w:rPr>
          <w:color w:val="000000" w:themeColor="text1"/>
        </w:rPr>
        <w:t xml:space="preserve"> </w:t>
      </w:r>
      <w:hyperlink r:id="rId9" w:history="1">
        <w:r w:rsidR="003416C0" w:rsidRPr="00971568">
          <w:rPr>
            <w:rStyle w:val="Hyperlink"/>
            <w:color w:val="000000" w:themeColor="text1"/>
            <w:u w:val="none"/>
          </w:rPr>
          <w:t>https://doi.org/10.1108/IJAIM-06-2017-0073</w:t>
        </w:r>
      </w:hyperlink>
    </w:p>
    <w:p w14:paraId="34431B4B" w14:textId="77777777" w:rsidR="00FD366E" w:rsidRPr="00971568" w:rsidRDefault="007434EE" w:rsidP="00E54755">
      <w:pPr>
        <w:spacing w:line="240" w:lineRule="auto"/>
        <w:ind w:left="720" w:hanging="720"/>
        <w:rPr>
          <w:color w:val="000000" w:themeColor="text1"/>
        </w:rPr>
      </w:pPr>
      <w:r w:rsidRPr="00971568">
        <w:rPr>
          <w:color w:val="000000" w:themeColor="text1"/>
        </w:rPr>
        <w:t>Anggraini, F., Helmi, S., &amp; Meihendri, M. (20</w:t>
      </w:r>
      <w:r w:rsidRPr="00971568">
        <w:rPr>
          <w:color w:val="000000" w:themeColor="text1"/>
        </w:rPr>
        <w:t xml:space="preserve">25). Frequency of audit committee meetings and firm value: Environmental, social, and governance disclosure (ESG) roles. </w:t>
      </w:r>
      <w:r w:rsidRPr="00971568">
        <w:rPr>
          <w:i/>
          <w:iCs/>
          <w:color w:val="000000" w:themeColor="text1"/>
        </w:rPr>
        <w:t>Jurnal Reviu Akuntansi dan Keuangan</w:t>
      </w:r>
      <w:r w:rsidRPr="00971568">
        <w:rPr>
          <w:color w:val="000000" w:themeColor="text1"/>
        </w:rPr>
        <w:t xml:space="preserve">, </w:t>
      </w:r>
      <w:r w:rsidRPr="00971568">
        <w:rPr>
          <w:i/>
          <w:iCs/>
          <w:color w:val="000000" w:themeColor="text1"/>
        </w:rPr>
        <w:t>15</w:t>
      </w:r>
      <w:r w:rsidRPr="00971568">
        <w:rPr>
          <w:color w:val="000000" w:themeColor="text1"/>
        </w:rPr>
        <w:t>(2), 381–395.</w:t>
      </w:r>
      <w:r w:rsidR="003416C0" w:rsidRPr="00971568">
        <w:rPr>
          <w:color w:val="000000" w:themeColor="text1"/>
        </w:rPr>
        <w:t xml:space="preserve"> </w:t>
      </w:r>
      <w:hyperlink r:id="rId10" w:history="1">
        <w:r w:rsidR="003416C0" w:rsidRPr="00971568">
          <w:rPr>
            <w:rStyle w:val="Hyperlink"/>
            <w:color w:val="000000" w:themeColor="text1"/>
            <w:u w:val="none"/>
          </w:rPr>
          <w:t>https://doi.org/10.22219/jrak.v15i2.30189</w:t>
        </w:r>
      </w:hyperlink>
    </w:p>
    <w:p w14:paraId="0D7AD082"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Ardyanti, P. D., &amp; Kurnia. (2023). Pengaruh komite audit, jumlah rapat komite audit, keahlian komite audit dan masa jabatan komite audit terhadap manajemen laba. </w:t>
      </w:r>
      <w:r w:rsidRPr="00971568">
        <w:rPr>
          <w:i/>
          <w:iCs/>
          <w:color w:val="000000" w:themeColor="text1"/>
        </w:rPr>
        <w:t>Jurnal Ilmu dan Riset Akuntansi</w:t>
      </w:r>
      <w:r w:rsidRPr="00971568">
        <w:rPr>
          <w:color w:val="000000" w:themeColor="text1"/>
        </w:rPr>
        <w:t xml:space="preserve">, </w:t>
      </w:r>
      <w:r w:rsidRPr="00971568">
        <w:rPr>
          <w:i/>
          <w:iCs/>
          <w:color w:val="000000" w:themeColor="text1"/>
        </w:rPr>
        <w:t>12</w:t>
      </w:r>
      <w:r w:rsidRPr="00971568">
        <w:rPr>
          <w:color w:val="000000" w:themeColor="text1"/>
        </w:rPr>
        <w:t>(3), 1–16.</w:t>
      </w:r>
      <w:r w:rsidR="003416C0" w:rsidRPr="00971568">
        <w:rPr>
          <w:color w:val="000000" w:themeColor="text1"/>
        </w:rPr>
        <w:t xml:space="preserve"> </w:t>
      </w:r>
      <w:hyperlink r:id="rId11" w:history="1">
        <w:r w:rsidR="003416C0" w:rsidRPr="00971568">
          <w:rPr>
            <w:rStyle w:val="Hyperlink"/>
            <w:color w:val="000000" w:themeColor="text1"/>
            <w:u w:val="none"/>
          </w:rPr>
          <w:t>http://jurnalmahasiswa.stiesia.ac.id/index.php/jira/article/view/5137</w:t>
        </w:r>
      </w:hyperlink>
    </w:p>
    <w:p w14:paraId="3B9DD0E9" w14:textId="77777777" w:rsidR="00FD366E" w:rsidRPr="00971568" w:rsidRDefault="007434EE" w:rsidP="00052218">
      <w:pPr>
        <w:spacing w:line="240" w:lineRule="auto"/>
        <w:ind w:left="720" w:hanging="720"/>
        <w:rPr>
          <w:color w:val="000000" w:themeColor="text1"/>
        </w:rPr>
      </w:pPr>
      <w:r w:rsidRPr="00971568">
        <w:rPr>
          <w:color w:val="000000" w:themeColor="text1"/>
        </w:rPr>
        <w:t>Basel Committee on Banking Supervision. (2015). Corporate governance principles for banks. Bank for International Settlements.</w:t>
      </w:r>
      <w:r w:rsidR="003416C0" w:rsidRPr="00971568">
        <w:rPr>
          <w:color w:val="000000" w:themeColor="text1"/>
        </w:rPr>
        <w:t xml:space="preserve"> </w:t>
      </w:r>
      <w:r w:rsidRPr="00971568">
        <w:rPr>
          <w:color w:val="000000" w:themeColor="text1"/>
        </w:rPr>
        <w:t>htt</w:t>
      </w:r>
      <w:r w:rsidRPr="00971568">
        <w:rPr>
          <w:color w:val="000000" w:themeColor="text1"/>
        </w:rPr>
        <w:t>ps://www.bis.org/bcbs/publ/d328.htm</w:t>
      </w:r>
    </w:p>
    <w:p w14:paraId="306451A3"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Bisnis.com. (2023). </w:t>
      </w:r>
      <w:r w:rsidRPr="00971568">
        <w:rPr>
          <w:i/>
          <w:iCs/>
          <w:color w:val="000000" w:themeColor="text1"/>
        </w:rPr>
        <w:t>Daftar perusahaan pembiayaan yang izin usahanya dicabut OJK pada 2023</w:t>
      </w:r>
      <w:r w:rsidRPr="00971568">
        <w:rPr>
          <w:color w:val="000000" w:themeColor="text1"/>
        </w:rPr>
        <w:t>.</w:t>
      </w:r>
      <w:r w:rsidR="003416C0" w:rsidRPr="00971568">
        <w:rPr>
          <w:color w:val="000000" w:themeColor="text1"/>
        </w:rPr>
        <w:t xml:space="preserve"> </w:t>
      </w:r>
      <w:hyperlink r:id="rId12" w:history="1">
        <w:r w:rsidR="003416C0" w:rsidRPr="00971568">
          <w:rPr>
            <w:rStyle w:val="Hyperlink"/>
            <w:color w:val="000000" w:themeColor="text1"/>
            <w:u w:val="none"/>
          </w:rPr>
          <w:t>https://finansial.bisnis.com/read/20231220/89/1725647</w:t>
        </w:r>
      </w:hyperlink>
      <w:r w:rsidRPr="00971568">
        <w:rPr>
          <w:color w:val="000000" w:themeColor="text1"/>
        </w:rPr>
        <w:t xml:space="preserve"> </w:t>
      </w:r>
    </w:p>
    <w:p w14:paraId="139CAFA3" w14:textId="77777777" w:rsidR="00FD366E" w:rsidRPr="00971568" w:rsidRDefault="007434EE" w:rsidP="00E54755">
      <w:pPr>
        <w:spacing w:line="240" w:lineRule="auto"/>
        <w:ind w:left="720" w:hanging="720"/>
        <w:rPr>
          <w:color w:val="000000" w:themeColor="text1"/>
        </w:rPr>
      </w:pPr>
      <w:r w:rsidRPr="00971568">
        <w:rPr>
          <w:color w:val="000000" w:themeColor="text1"/>
        </w:rPr>
        <w:t>Burs</w:t>
      </w:r>
      <w:r w:rsidRPr="00971568">
        <w:rPr>
          <w:color w:val="000000" w:themeColor="text1"/>
        </w:rPr>
        <w:t xml:space="preserve">a Efek Indonesia. (2021–2024). </w:t>
      </w:r>
      <w:r w:rsidRPr="00971568">
        <w:rPr>
          <w:i/>
          <w:iCs/>
          <w:color w:val="000000" w:themeColor="text1"/>
        </w:rPr>
        <w:t>Laporan tahunan perusahaan sektor keuangan papan utama Bursa Efek Indonesia periode 2021–2024</w:t>
      </w:r>
      <w:r w:rsidRPr="00971568">
        <w:rPr>
          <w:color w:val="000000" w:themeColor="text1"/>
        </w:rPr>
        <w:t xml:space="preserve"> [Data set]. Bursa Efek Indonesia.</w:t>
      </w:r>
      <w:r w:rsidR="003416C0" w:rsidRPr="00971568">
        <w:rPr>
          <w:color w:val="000000" w:themeColor="text1"/>
        </w:rPr>
        <w:t xml:space="preserve"> </w:t>
      </w:r>
      <w:hyperlink r:id="rId13" w:history="1">
        <w:r w:rsidR="003416C0" w:rsidRPr="00971568">
          <w:rPr>
            <w:rStyle w:val="Hyperlink"/>
            <w:color w:val="000000" w:themeColor="text1"/>
            <w:u w:val="none"/>
          </w:rPr>
          <w:t>https://www.idx.co.id/id/perusahaan-tercatat/laporan-keuangan-dan-tahunan/</w:t>
        </w:r>
      </w:hyperlink>
    </w:p>
    <w:p w14:paraId="7D0AB662"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Bursa Efek Indonesia. (2024). </w:t>
      </w:r>
      <w:r w:rsidRPr="00971568">
        <w:rPr>
          <w:i/>
          <w:iCs/>
          <w:color w:val="000000" w:themeColor="text1"/>
        </w:rPr>
        <w:t>Daftar saham berdasarkan IDX Industrial Classification (IDX-IC)</w:t>
      </w:r>
      <w:r w:rsidRPr="00971568">
        <w:rPr>
          <w:color w:val="000000" w:themeColor="text1"/>
        </w:rPr>
        <w:t>. Bursa Efek Indonesia.</w:t>
      </w:r>
      <w:r w:rsidR="003416C0" w:rsidRPr="00971568">
        <w:rPr>
          <w:color w:val="000000" w:themeColor="text1"/>
        </w:rPr>
        <w:t xml:space="preserve"> </w:t>
      </w:r>
      <w:hyperlink r:id="rId14" w:history="1">
        <w:r w:rsidR="003416C0" w:rsidRPr="00971568">
          <w:rPr>
            <w:rStyle w:val="Hyperlink"/>
            <w:color w:val="000000" w:themeColor="text1"/>
            <w:u w:val="none"/>
          </w:rPr>
          <w:t>https://www.idx.co.id/id/data-pasar/data-saham/daftar-saham/</w:t>
        </w:r>
      </w:hyperlink>
    </w:p>
    <w:p w14:paraId="1F03DA52"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Chung, K. H., &amp; Pruitt, S. W. (1994). A simple approximation of Tobin's Q. </w:t>
      </w:r>
      <w:r w:rsidRPr="00971568">
        <w:rPr>
          <w:i/>
          <w:iCs/>
          <w:color w:val="000000" w:themeColor="text1"/>
        </w:rPr>
        <w:t>Financial Management</w:t>
      </w:r>
      <w:r w:rsidRPr="00971568">
        <w:rPr>
          <w:color w:val="000000" w:themeColor="text1"/>
        </w:rPr>
        <w:t xml:space="preserve">, </w:t>
      </w:r>
      <w:r w:rsidRPr="00971568">
        <w:rPr>
          <w:i/>
          <w:iCs/>
          <w:color w:val="000000" w:themeColor="text1"/>
        </w:rPr>
        <w:t>23</w:t>
      </w:r>
      <w:r w:rsidRPr="00971568">
        <w:rPr>
          <w:color w:val="000000" w:themeColor="text1"/>
        </w:rPr>
        <w:t>(3), 70–74.</w:t>
      </w:r>
      <w:r w:rsidR="003416C0" w:rsidRPr="00971568">
        <w:rPr>
          <w:color w:val="000000" w:themeColor="text1"/>
        </w:rPr>
        <w:t xml:space="preserve"> </w:t>
      </w:r>
      <w:hyperlink r:id="rId15" w:history="1">
        <w:r w:rsidR="003416C0" w:rsidRPr="00971568">
          <w:rPr>
            <w:rStyle w:val="Hyperlink"/>
            <w:color w:val="000000" w:themeColor="text1"/>
            <w:u w:val="none"/>
          </w:rPr>
          <w:t>https://www.jstor.org/stable/3665623</w:t>
        </w:r>
      </w:hyperlink>
    </w:p>
    <w:p w14:paraId="71DB340F" w14:textId="77777777" w:rsidR="00FD366E" w:rsidRPr="00971568" w:rsidRDefault="007434EE" w:rsidP="00052218">
      <w:pPr>
        <w:spacing w:line="240" w:lineRule="auto"/>
        <w:ind w:left="720" w:hanging="720"/>
        <w:rPr>
          <w:color w:val="000000" w:themeColor="text1"/>
        </w:rPr>
        <w:sectPr w:rsidR="00FD366E" w:rsidRPr="00971568" w:rsidSect="007E3DD5">
          <w:pgSz w:w="11906" w:h="16838" w:code="9"/>
          <w:pgMar w:top="2268" w:right="1701" w:bottom="1701" w:left="2268" w:header="720" w:footer="720" w:gutter="0"/>
          <w:cols w:space="720"/>
          <w:titlePg/>
          <w:docGrid w:linePitch="360"/>
        </w:sectPr>
      </w:pPr>
      <w:r w:rsidRPr="00971568">
        <w:rPr>
          <w:color w:val="000000" w:themeColor="text1"/>
        </w:rPr>
        <w:t>Claessens, S., Djankov, S., Fan, J. P., &amp; Lang, L. H. (2002). Disentangling the incentive and entrenchment effects of large shareholdings. </w:t>
      </w:r>
      <w:r w:rsidRPr="00971568">
        <w:rPr>
          <w:i/>
          <w:iCs/>
          <w:color w:val="000000" w:themeColor="text1"/>
        </w:rPr>
        <w:t>The journal of finance</w:t>
      </w:r>
      <w:r w:rsidRPr="00971568">
        <w:rPr>
          <w:color w:val="000000" w:themeColor="text1"/>
        </w:rPr>
        <w:t>, </w:t>
      </w:r>
      <w:r w:rsidRPr="00971568">
        <w:rPr>
          <w:i/>
          <w:iCs/>
          <w:color w:val="000000" w:themeColor="text1"/>
        </w:rPr>
        <w:t>57</w:t>
      </w:r>
      <w:r w:rsidRPr="00971568">
        <w:rPr>
          <w:color w:val="000000" w:themeColor="text1"/>
        </w:rPr>
        <w:t>(6), 2741-2771.</w:t>
      </w:r>
      <w:r w:rsidR="003416C0" w:rsidRPr="00971568">
        <w:rPr>
          <w:color w:val="000000" w:themeColor="text1"/>
        </w:rPr>
        <w:t xml:space="preserve"> </w:t>
      </w:r>
      <w:hyperlink r:id="rId16" w:history="1">
        <w:r w:rsidR="003416C0" w:rsidRPr="00971568">
          <w:rPr>
            <w:rStyle w:val="Hyperlink"/>
            <w:color w:val="000000" w:themeColor="text1"/>
            <w:u w:val="none"/>
          </w:rPr>
          <w:t>https://doi.org/10.1111/1540-6261.00511</w:t>
        </w:r>
      </w:hyperlink>
    </w:p>
    <w:p w14:paraId="01690D1A" w14:textId="77777777" w:rsidR="00FD366E" w:rsidRPr="00971568" w:rsidRDefault="007434EE" w:rsidP="00E54755">
      <w:pPr>
        <w:spacing w:line="240" w:lineRule="auto"/>
        <w:ind w:left="720" w:hanging="720"/>
        <w:rPr>
          <w:color w:val="000000" w:themeColor="text1"/>
        </w:rPr>
      </w:pPr>
      <w:r w:rsidRPr="00971568">
        <w:rPr>
          <w:color w:val="000000" w:themeColor="text1"/>
        </w:rPr>
        <w:lastRenderedPageBreak/>
        <w:t xml:space="preserve">CNBC Indonesia. (2024). </w:t>
      </w:r>
      <w:r w:rsidRPr="00971568">
        <w:rPr>
          <w:i/>
          <w:iCs/>
          <w:color w:val="000000" w:themeColor="text1"/>
        </w:rPr>
        <w:t>OJK ungkap 6 multifinance RI mati di 2023</w:t>
      </w:r>
      <w:r w:rsidRPr="00971568">
        <w:rPr>
          <w:color w:val="000000" w:themeColor="text1"/>
        </w:rPr>
        <w:t>.</w:t>
      </w:r>
      <w:r w:rsidR="003416C0" w:rsidRPr="00971568">
        <w:rPr>
          <w:color w:val="000000" w:themeColor="text1"/>
        </w:rPr>
        <w:t xml:space="preserve"> </w:t>
      </w:r>
      <w:hyperlink r:id="rId17" w:history="1">
        <w:r w:rsidR="003416C0" w:rsidRPr="00971568">
          <w:rPr>
            <w:rStyle w:val="Hyperlink"/>
            <w:color w:val="000000" w:themeColor="text1"/>
            <w:u w:val="none"/>
          </w:rPr>
          <w:t>https://www.cnbcindonesia.com/market/20240107063605-17-503310</w:t>
        </w:r>
      </w:hyperlink>
      <w:r w:rsidRPr="00971568">
        <w:rPr>
          <w:color w:val="000000" w:themeColor="text1"/>
        </w:rPr>
        <w:t xml:space="preserve"> </w:t>
      </w:r>
    </w:p>
    <w:p w14:paraId="3628566B"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Dapingga, S. P., &amp; Romli, R. (2024). Pengaruh Keberagaman Gender Dewan Direksi dan Ukuran Perusahaan terhadap Kinerja Keuangan pada Perusahaan Indeks LQ45 yang Terdaftar di Bursa Efek Indonesia. Portofolio: Jurnal Ekonomi, Bisnis, Manajemen, </w:t>
      </w:r>
      <w:r w:rsidRPr="00971568">
        <w:rPr>
          <w:color w:val="000000" w:themeColor="text1"/>
        </w:rPr>
        <w:t>dan Akuntansi, 21(1), 1–17.</w:t>
      </w:r>
      <w:r w:rsidR="003416C0" w:rsidRPr="00971568">
        <w:rPr>
          <w:color w:val="000000" w:themeColor="text1"/>
        </w:rPr>
        <w:t xml:space="preserve"> </w:t>
      </w:r>
      <w:hyperlink r:id="rId18" w:history="1">
        <w:r w:rsidR="003416C0" w:rsidRPr="00971568">
          <w:rPr>
            <w:rStyle w:val="Hyperlink"/>
            <w:color w:val="000000" w:themeColor="text1"/>
            <w:u w:val="none"/>
          </w:rPr>
          <w:t>https://doi.org/10.26874/portofolio.v21i1.449</w:t>
        </w:r>
      </w:hyperlink>
    </w:p>
    <w:p w14:paraId="448814A6" w14:textId="77777777" w:rsidR="00FD366E" w:rsidRPr="00971568" w:rsidRDefault="007434EE" w:rsidP="00E54755">
      <w:pPr>
        <w:spacing w:line="240" w:lineRule="auto"/>
        <w:ind w:left="720" w:hanging="720"/>
        <w:rPr>
          <w:color w:val="000000" w:themeColor="text1"/>
        </w:rPr>
      </w:pPr>
      <w:r w:rsidRPr="00971568">
        <w:rPr>
          <w:color w:val="000000" w:themeColor="text1"/>
        </w:rPr>
        <w:t>Eliya, S., &amp; Suprapto, Y. (2022). Pengaruh keberagaman gender terhadap kinerja keuangan pada perusahaan manufaktur baran</w:t>
      </w:r>
      <w:r w:rsidRPr="00971568">
        <w:rPr>
          <w:color w:val="000000" w:themeColor="text1"/>
        </w:rPr>
        <w:t xml:space="preserve">g konsumsi publik di Indonesia. </w:t>
      </w:r>
      <w:r w:rsidRPr="00971568">
        <w:rPr>
          <w:i/>
          <w:iCs/>
          <w:color w:val="000000" w:themeColor="text1"/>
        </w:rPr>
        <w:t>SEIKO: Journal of Management &amp; Business</w:t>
      </w:r>
      <w:r w:rsidRPr="00971568">
        <w:rPr>
          <w:color w:val="000000" w:themeColor="text1"/>
        </w:rPr>
        <w:t xml:space="preserve">, </w:t>
      </w:r>
      <w:r w:rsidRPr="00971568">
        <w:rPr>
          <w:i/>
          <w:iCs/>
          <w:color w:val="000000" w:themeColor="text1"/>
        </w:rPr>
        <w:t>5</w:t>
      </w:r>
      <w:r w:rsidRPr="00971568">
        <w:rPr>
          <w:color w:val="000000" w:themeColor="text1"/>
        </w:rPr>
        <w:t>(2), 23–30.</w:t>
      </w:r>
      <w:hyperlink r:id="rId19" w:history="1">
        <w:r w:rsidR="00971568" w:rsidRPr="00971568">
          <w:rPr>
            <w:rStyle w:val="Hyperlink"/>
            <w:color w:val="000000" w:themeColor="text1"/>
            <w:u w:val="none"/>
          </w:rPr>
          <w:t xml:space="preserve"> https://doi.org/10.37531/sejaman.v5i2.2081</w:t>
        </w:r>
      </w:hyperlink>
    </w:p>
    <w:p w14:paraId="338CF813"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Ghozali, I. (2021). </w:t>
      </w:r>
      <w:r w:rsidRPr="00971568">
        <w:rPr>
          <w:i/>
          <w:iCs/>
          <w:color w:val="000000" w:themeColor="text1"/>
        </w:rPr>
        <w:t>Aplikasi analisis multivariate dengan program</w:t>
      </w:r>
      <w:r w:rsidRPr="00971568">
        <w:rPr>
          <w:i/>
          <w:iCs/>
          <w:color w:val="000000" w:themeColor="text1"/>
        </w:rPr>
        <w:t xml:space="preserve"> IBM SPSS 26</w:t>
      </w:r>
      <w:r w:rsidRPr="00971568">
        <w:rPr>
          <w:color w:val="000000" w:themeColor="text1"/>
        </w:rPr>
        <w:t xml:space="preserve"> (Ed. ke-10). Badan Penerbit Universitas Diponegoro.</w:t>
      </w:r>
    </w:p>
    <w:p w14:paraId="4215CD97"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Gujarati, D. N., &amp; Porter, D. C. (2009). </w:t>
      </w:r>
      <w:r w:rsidRPr="00971568">
        <w:rPr>
          <w:i/>
          <w:iCs/>
          <w:color w:val="000000" w:themeColor="text1"/>
        </w:rPr>
        <w:t>Basic econometrics</w:t>
      </w:r>
      <w:r w:rsidRPr="00971568">
        <w:rPr>
          <w:color w:val="000000" w:themeColor="text1"/>
        </w:rPr>
        <w:t xml:space="preserve"> (5th ed.). McGraw-Hill.</w:t>
      </w:r>
    </w:p>
    <w:p w14:paraId="597CE7C8" w14:textId="77777777" w:rsidR="00FD366E" w:rsidRPr="00971568" w:rsidRDefault="007434EE" w:rsidP="00E54755">
      <w:pPr>
        <w:spacing w:line="240" w:lineRule="auto"/>
        <w:ind w:left="720" w:hanging="720"/>
        <w:rPr>
          <w:color w:val="000000" w:themeColor="text1"/>
        </w:rPr>
      </w:pPr>
      <w:r w:rsidRPr="00971568">
        <w:rPr>
          <w:color w:val="000000" w:themeColor="text1"/>
        </w:rPr>
        <w:t>Hasan, S. M</w:t>
      </w:r>
      <w:r w:rsidRPr="00971568">
        <w:rPr>
          <w:b/>
          <w:bCs/>
          <w:color w:val="000000" w:themeColor="text1"/>
        </w:rPr>
        <w:t>.</w:t>
      </w:r>
      <w:r w:rsidRPr="00971568">
        <w:rPr>
          <w:color w:val="000000" w:themeColor="text1"/>
        </w:rPr>
        <w:t xml:space="preserve">, Islam, R., &amp; Saha, P. (2025). Corporate governance mechanisms and firm value in emerging markets: Evidence from the banking sector of Bangladesh. </w:t>
      </w:r>
      <w:r w:rsidRPr="00971568">
        <w:rPr>
          <w:i/>
          <w:iCs/>
          <w:color w:val="000000" w:themeColor="text1"/>
        </w:rPr>
        <w:t>Banks and Bank Systems</w:t>
      </w:r>
      <w:r w:rsidRPr="00971568">
        <w:rPr>
          <w:color w:val="000000" w:themeColor="text1"/>
        </w:rPr>
        <w:t xml:space="preserve">, </w:t>
      </w:r>
      <w:r w:rsidRPr="00971568">
        <w:rPr>
          <w:i/>
          <w:iCs/>
          <w:color w:val="000000" w:themeColor="text1"/>
        </w:rPr>
        <w:t>20</w:t>
      </w:r>
      <w:r w:rsidRPr="00971568">
        <w:rPr>
          <w:color w:val="000000" w:themeColor="text1"/>
        </w:rPr>
        <w:t>(3), 263–278.</w:t>
      </w:r>
      <w:r w:rsidR="00971568" w:rsidRPr="00971568">
        <w:rPr>
          <w:color w:val="000000" w:themeColor="text1"/>
        </w:rPr>
        <w:t xml:space="preserve"> </w:t>
      </w:r>
      <w:hyperlink r:id="rId20" w:history="1">
        <w:r w:rsidR="00971568" w:rsidRPr="00971568">
          <w:rPr>
            <w:rStyle w:val="Hyperlink"/>
            <w:color w:val="000000" w:themeColor="text1"/>
            <w:u w:val="none"/>
          </w:rPr>
          <w:t>https://doi.org/10.21511/bbs.20(3).2025.19</w:t>
        </w:r>
      </w:hyperlink>
    </w:p>
    <w:p w14:paraId="27D4B9E7"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Ikhyanuddin. (2021). Pengaruh board diversity terhadap nilai perusahaan: Studi pada perusahaan manufaktur yang terdaftar di Bursa Efek Indonesia tahun 2017–2018. </w:t>
      </w:r>
      <w:r w:rsidRPr="00971568">
        <w:rPr>
          <w:i/>
          <w:iCs/>
          <w:color w:val="000000" w:themeColor="text1"/>
        </w:rPr>
        <w:t>Indonesian Journal of Intellectual Publication</w:t>
      </w:r>
      <w:r w:rsidRPr="00971568">
        <w:rPr>
          <w:color w:val="000000" w:themeColor="text1"/>
        </w:rPr>
        <w:t xml:space="preserve">, </w:t>
      </w:r>
      <w:r w:rsidRPr="00971568">
        <w:rPr>
          <w:i/>
          <w:iCs/>
          <w:color w:val="000000" w:themeColor="text1"/>
        </w:rPr>
        <w:t>1</w:t>
      </w:r>
      <w:r w:rsidRPr="00971568">
        <w:rPr>
          <w:color w:val="000000" w:themeColor="text1"/>
        </w:rPr>
        <w:t>(3), 219–22</w:t>
      </w:r>
      <w:r w:rsidRPr="00971568">
        <w:rPr>
          <w:color w:val="000000" w:themeColor="text1"/>
        </w:rPr>
        <w:t>7.</w:t>
      </w:r>
      <w:r w:rsidR="00971568" w:rsidRPr="00971568">
        <w:rPr>
          <w:color w:val="000000" w:themeColor="text1"/>
        </w:rPr>
        <w:t xml:space="preserve"> </w:t>
      </w:r>
      <w:hyperlink r:id="rId21" w:history="1">
        <w:r w:rsidR="00971568" w:rsidRPr="00971568">
          <w:rPr>
            <w:rStyle w:val="Hyperlink"/>
            <w:color w:val="000000" w:themeColor="text1"/>
            <w:u w:val="none"/>
          </w:rPr>
          <w:t>https://doi.org/10.51577/ijipublication.v1i3.130</w:t>
        </w:r>
      </w:hyperlink>
    </w:p>
    <w:p w14:paraId="26EC8905"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Imelda, I., Mukhtaruddin, M., &amp; Kartasari, S. F. (2025). Analyzing the Role of the Audit Committee in Good Corporate Governance: Influence </w:t>
      </w:r>
      <w:r w:rsidRPr="00971568">
        <w:rPr>
          <w:color w:val="000000" w:themeColor="text1"/>
        </w:rPr>
        <w:t>on Transparency and Accountability of Financial Reports. Jurnal Akuntansi, 14(1), 73–87.</w:t>
      </w:r>
      <w:hyperlink r:id="rId22" w:history="1">
        <w:r w:rsidR="00971568" w:rsidRPr="00971568">
          <w:rPr>
            <w:rStyle w:val="Hyperlink"/>
            <w:color w:val="000000" w:themeColor="text1"/>
            <w:u w:val="none"/>
          </w:rPr>
          <w:t xml:space="preserve"> https://doi.org/10.46806/ja.v14i1.1398</w:t>
        </w:r>
      </w:hyperlink>
    </w:p>
    <w:p w14:paraId="5B513DD6" w14:textId="77777777" w:rsidR="00FD366E" w:rsidRPr="00971568" w:rsidRDefault="007434EE" w:rsidP="00E54755">
      <w:pPr>
        <w:spacing w:line="240" w:lineRule="auto"/>
        <w:ind w:left="720" w:hanging="720"/>
        <w:rPr>
          <w:color w:val="000000" w:themeColor="text1"/>
        </w:rPr>
      </w:pPr>
      <w:r w:rsidRPr="00971568">
        <w:rPr>
          <w:color w:val="000000" w:themeColor="text1"/>
        </w:rPr>
        <w:t>Jayanti, R. D., Probohudono, A. N., &amp; Endiramurti, S. R. (2023). Gende</w:t>
      </w:r>
      <w:r w:rsidRPr="00971568">
        <w:rPr>
          <w:color w:val="000000" w:themeColor="text1"/>
        </w:rPr>
        <w:t>r Diversity among the Board of Commissioners and Firm Value in Indonesia. International Journal of Economics, Business and Accounting Research, 7(1), 84–93.</w:t>
      </w:r>
      <w:r w:rsidR="00971568" w:rsidRPr="00971568">
        <w:rPr>
          <w:color w:val="000000" w:themeColor="text1"/>
        </w:rPr>
        <w:t xml:space="preserve"> </w:t>
      </w:r>
      <w:hyperlink r:id="rId23" w:history="1">
        <w:r w:rsidR="00971568" w:rsidRPr="00971568">
          <w:rPr>
            <w:rStyle w:val="Hyperlink"/>
            <w:color w:val="000000" w:themeColor="text1"/>
            <w:u w:val="none"/>
          </w:rPr>
          <w:t>https://doi.org/10.29040/ijebar.v7i1.8100</w:t>
        </w:r>
      </w:hyperlink>
    </w:p>
    <w:p w14:paraId="56BE1D59"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Jensen, M. C., &amp; Meckling, W. H. (1976). </w:t>
      </w:r>
      <w:r w:rsidRPr="00971568">
        <w:rPr>
          <w:i/>
          <w:iCs/>
          <w:color w:val="000000" w:themeColor="text1"/>
        </w:rPr>
        <w:t>Theory of the Firm: Managerial Behavior, Agency Costs and Ownership Structure.</w:t>
      </w:r>
      <w:r w:rsidRPr="00971568">
        <w:rPr>
          <w:color w:val="000000" w:themeColor="text1"/>
        </w:rPr>
        <w:t xml:space="preserve"> Journal of Financial Economics, 3(4), 305–360.</w:t>
      </w:r>
      <w:r w:rsidR="00971568" w:rsidRPr="00971568">
        <w:rPr>
          <w:color w:val="000000" w:themeColor="text1"/>
        </w:rPr>
        <w:t xml:space="preserve"> </w:t>
      </w:r>
      <w:hyperlink r:id="rId24" w:history="1">
        <w:r w:rsidR="00971568" w:rsidRPr="00971568">
          <w:rPr>
            <w:rStyle w:val="Hyperlink"/>
            <w:color w:val="000000" w:themeColor="text1"/>
            <w:u w:val="none"/>
          </w:rPr>
          <w:t>https://doi.org/10.1016/0304-405X(76)90026-X</w:t>
        </w:r>
      </w:hyperlink>
    </w:p>
    <w:p w14:paraId="5678BAAB" w14:textId="77777777" w:rsidR="00FD366E" w:rsidRPr="00971568" w:rsidRDefault="007434EE" w:rsidP="00052218">
      <w:pPr>
        <w:spacing w:line="240" w:lineRule="auto"/>
        <w:ind w:left="720" w:hanging="720"/>
        <w:rPr>
          <w:color w:val="000000" w:themeColor="text1"/>
        </w:rPr>
      </w:pPr>
      <w:r w:rsidRPr="00971568">
        <w:rPr>
          <w:color w:val="000000" w:themeColor="text1"/>
        </w:rPr>
        <w:t>Joint Forum. (2012). Principles for the supervision of financial conglomerates. Bank for International Settlements. https://www.bis.org/publ/joint29.htm</w:t>
      </w:r>
    </w:p>
    <w:p w14:paraId="709E1C11" w14:textId="77777777" w:rsidR="00FD366E" w:rsidRPr="00971568" w:rsidRDefault="007434EE" w:rsidP="00EF1261">
      <w:pPr>
        <w:spacing w:line="240" w:lineRule="auto"/>
        <w:ind w:left="720" w:hanging="720"/>
        <w:rPr>
          <w:color w:val="000000" w:themeColor="text1"/>
          <w:lang w:val="en-US"/>
        </w:rPr>
        <w:sectPr w:rsidR="00FD366E" w:rsidRPr="00971568" w:rsidSect="007E3DD5">
          <w:pgSz w:w="11906" w:h="16838" w:code="9"/>
          <w:pgMar w:top="2268" w:right="1701" w:bottom="1701" w:left="2268" w:header="720" w:footer="720" w:gutter="0"/>
          <w:pgNumType w:start="2"/>
          <w:cols w:space="720"/>
          <w:docGrid w:linePitch="360"/>
        </w:sectPr>
      </w:pPr>
      <w:r w:rsidRPr="00971568">
        <w:rPr>
          <w:color w:val="000000" w:themeColor="text1"/>
          <w:lang w:val="en-US"/>
        </w:rPr>
        <w:t xml:space="preserve">Karim, S., Naeem, M.A., </w:t>
      </w:r>
      <w:r w:rsidR="005032E0">
        <w:rPr>
          <w:color w:val="000000" w:themeColor="text1"/>
          <w:lang w:val="en-US"/>
        </w:rPr>
        <w:t xml:space="preserve">&amp; </w:t>
      </w:r>
      <w:r w:rsidRPr="00971568">
        <w:rPr>
          <w:color w:val="000000" w:themeColor="text1"/>
          <w:lang w:val="en-US"/>
        </w:rPr>
        <w:t xml:space="preserve">Ismail, R.B. (2023). </w:t>
      </w:r>
      <w:r w:rsidRPr="00971568">
        <w:rPr>
          <w:color w:val="000000" w:themeColor="text1"/>
          <w:lang w:val="en-US"/>
        </w:rPr>
        <w:t>Re-configuring ownership structure, board characteristics and firm value nexus in Malaysia: The role of board gender and ethnic diversity. International Journal of Emerging Markets, 18(12), 5727-5754.</w:t>
      </w:r>
      <w:r w:rsidR="00971568" w:rsidRPr="00971568">
        <w:rPr>
          <w:color w:val="000000" w:themeColor="text1"/>
          <w:lang w:val="en-US"/>
        </w:rPr>
        <w:t xml:space="preserve"> </w:t>
      </w:r>
      <w:hyperlink r:id="rId25" w:history="1">
        <w:r w:rsidR="00971568" w:rsidRPr="00971568">
          <w:rPr>
            <w:rStyle w:val="Hyperlink"/>
            <w:color w:val="000000" w:themeColor="text1"/>
            <w:u w:val="none"/>
            <w:lang w:val="en-US"/>
          </w:rPr>
          <w:t>https://doi.org/10.1108/IJOEM-01-2021-0004</w:t>
        </w:r>
      </w:hyperlink>
    </w:p>
    <w:p w14:paraId="7CA7B23B" w14:textId="77777777" w:rsidR="00FD366E" w:rsidRPr="00971568" w:rsidRDefault="007434EE" w:rsidP="00CB3541">
      <w:pPr>
        <w:spacing w:line="240" w:lineRule="auto"/>
        <w:ind w:left="720" w:hanging="720"/>
        <w:rPr>
          <w:color w:val="000000" w:themeColor="text1"/>
        </w:rPr>
      </w:pPr>
      <w:r w:rsidRPr="00971568">
        <w:rPr>
          <w:color w:val="000000" w:themeColor="text1"/>
        </w:rPr>
        <w:lastRenderedPageBreak/>
        <w:t xml:space="preserve">Kustodian Sentral Efek Indonesia. (2024). </w:t>
      </w:r>
      <w:r w:rsidRPr="00971568">
        <w:rPr>
          <w:i/>
          <w:iCs/>
          <w:color w:val="000000" w:themeColor="text1"/>
        </w:rPr>
        <w:t>Jumlah investor pasar modal tembus 14 juta SID pada akhir tahun 2024</w:t>
      </w:r>
      <w:r w:rsidRPr="00971568">
        <w:rPr>
          <w:color w:val="000000" w:themeColor="text1"/>
        </w:rPr>
        <w:t>. KSEI.</w:t>
      </w:r>
      <w:r w:rsidR="00971568" w:rsidRPr="00971568">
        <w:rPr>
          <w:color w:val="000000" w:themeColor="text1"/>
        </w:rPr>
        <w:t xml:space="preserve"> </w:t>
      </w:r>
      <w:hyperlink r:id="rId26" w:history="1">
        <w:r w:rsidR="00971568" w:rsidRPr="00971568">
          <w:rPr>
            <w:rStyle w:val="Hyperlink"/>
            <w:color w:val="000000" w:themeColor="text1"/>
            <w:u w:val="none"/>
          </w:rPr>
          <w:t>https://www.ksei.co.id</w:t>
        </w:r>
      </w:hyperlink>
    </w:p>
    <w:p w14:paraId="486D7D97" w14:textId="77777777" w:rsidR="00FD366E" w:rsidRPr="00971568" w:rsidRDefault="007434EE" w:rsidP="00E54755">
      <w:pPr>
        <w:spacing w:line="240" w:lineRule="auto"/>
        <w:ind w:left="720" w:hanging="720"/>
        <w:rPr>
          <w:color w:val="000000" w:themeColor="text1"/>
        </w:rPr>
      </w:pPr>
      <w:r w:rsidRPr="00971568">
        <w:rPr>
          <w:color w:val="000000" w:themeColor="text1"/>
        </w:rPr>
        <w:t>Lestari, Y. A., &amp; Naimah, Z. (2020). Peran Entrenchment Effect dari Konsentrasi Kepemilikan untuk Peningkatan Kualitas Laba. </w:t>
      </w:r>
      <w:r w:rsidRPr="00971568">
        <w:rPr>
          <w:i/>
          <w:iCs/>
          <w:color w:val="000000" w:themeColor="text1"/>
        </w:rPr>
        <w:t>Jurnal Akuntansi Multiparadigma</w:t>
      </w:r>
      <w:r w:rsidRPr="00971568">
        <w:rPr>
          <w:color w:val="000000" w:themeColor="text1"/>
        </w:rPr>
        <w:t>, </w:t>
      </w:r>
      <w:r w:rsidRPr="00971568">
        <w:rPr>
          <w:i/>
          <w:iCs/>
          <w:color w:val="000000" w:themeColor="text1"/>
        </w:rPr>
        <w:t>11</w:t>
      </w:r>
      <w:r w:rsidRPr="00971568">
        <w:rPr>
          <w:color w:val="000000" w:themeColor="text1"/>
        </w:rPr>
        <w:t>(2), 321-333.</w:t>
      </w:r>
      <w:r w:rsidR="00971568" w:rsidRPr="00971568">
        <w:rPr>
          <w:color w:val="000000" w:themeColor="text1"/>
        </w:rPr>
        <w:t xml:space="preserve"> </w:t>
      </w:r>
      <w:hyperlink r:id="rId27" w:history="1">
        <w:r w:rsidR="00971568" w:rsidRPr="00971568">
          <w:rPr>
            <w:rStyle w:val="Hyperlink"/>
            <w:color w:val="000000" w:themeColor="text1"/>
            <w:u w:val="none"/>
          </w:rPr>
          <w:t>https://doi.org/10.21776/ub.jamal.2020.11.2.19</w:t>
        </w:r>
      </w:hyperlink>
    </w:p>
    <w:p w14:paraId="2B77E2F2" w14:textId="77777777" w:rsidR="00FD366E" w:rsidRPr="00971568" w:rsidRDefault="007434EE" w:rsidP="00E54755">
      <w:pPr>
        <w:spacing w:line="240" w:lineRule="auto"/>
        <w:ind w:left="720" w:hanging="720"/>
        <w:rPr>
          <w:color w:val="000000" w:themeColor="text1"/>
        </w:rPr>
      </w:pPr>
      <w:r w:rsidRPr="00971568">
        <w:rPr>
          <w:color w:val="000000" w:themeColor="text1"/>
        </w:rPr>
        <w:t>Lu, H.-T. (2024). Controlling Shareholders, Their Incentives and Corporate Governance Ratings. Managerial Finance, 50(8), 1515–1532.</w:t>
      </w:r>
      <w:r w:rsidR="00971568" w:rsidRPr="00971568">
        <w:rPr>
          <w:color w:val="000000" w:themeColor="text1"/>
        </w:rPr>
        <w:t xml:space="preserve"> </w:t>
      </w:r>
      <w:hyperlink r:id="rId28" w:history="1">
        <w:r w:rsidR="00971568" w:rsidRPr="00971568">
          <w:rPr>
            <w:rStyle w:val="Hyperlink"/>
            <w:color w:val="000000" w:themeColor="text1"/>
            <w:u w:val="none"/>
          </w:rPr>
          <w:t>https://doi.org/10.1108/MF-08-2023-0473</w:t>
        </w:r>
      </w:hyperlink>
    </w:p>
    <w:p w14:paraId="314A36A1" w14:textId="77777777" w:rsidR="00FD366E" w:rsidRPr="00971568" w:rsidRDefault="007434EE" w:rsidP="00E54755">
      <w:pPr>
        <w:spacing w:line="240" w:lineRule="auto"/>
        <w:ind w:left="720" w:hanging="720"/>
        <w:rPr>
          <w:color w:val="000000" w:themeColor="text1"/>
        </w:rPr>
      </w:pPr>
      <w:r w:rsidRPr="00971568">
        <w:rPr>
          <w:color w:val="000000" w:themeColor="text1"/>
        </w:rPr>
        <w:t>Mastella, M., Vancin, D., Perlin, M., &amp; Kirch, G. (2021). Board gender diversity: performance and risk of Brazilian firms. </w:t>
      </w:r>
      <w:r w:rsidRPr="00971568">
        <w:rPr>
          <w:i/>
          <w:iCs/>
          <w:color w:val="000000" w:themeColor="text1"/>
        </w:rPr>
        <w:t>Gender in Management: An International Journal</w:t>
      </w:r>
      <w:r w:rsidRPr="00971568">
        <w:rPr>
          <w:color w:val="000000" w:themeColor="text1"/>
        </w:rPr>
        <w:t>, </w:t>
      </w:r>
      <w:r w:rsidRPr="00971568">
        <w:rPr>
          <w:i/>
          <w:iCs/>
          <w:color w:val="000000" w:themeColor="text1"/>
        </w:rPr>
        <w:t>36</w:t>
      </w:r>
      <w:r w:rsidRPr="00971568">
        <w:rPr>
          <w:color w:val="000000" w:themeColor="text1"/>
        </w:rPr>
        <w:t>(4), 498-518.</w:t>
      </w:r>
      <w:r w:rsidR="00971568" w:rsidRPr="00971568">
        <w:rPr>
          <w:color w:val="000000" w:themeColor="text1"/>
        </w:rPr>
        <w:t xml:space="preserve"> </w:t>
      </w:r>
      <w:hyperlink r:id="rId29" w:history="1">
        <w:r w:rsidR="00971568" w:rsidRPr="00971568">
          <w:rPr>
            <w:rStyle w:val="Hyperlink"/>
            <w:color w:val="000000" w:themeColor="text1"/>
            <w:u w:val="none"/>
          </w:rPr>
          <w:t>https://doi.org/10.1108/GM-06-2019-0088</w:t>
        </w:r>
      </w:hyperlink>
    </w:p>
    <w:p w14:paraId="071E9ABB"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Meliana, F., &amp; Abdurrahman, A. (2025). Corporate governance mechanisms, gender diversity, and firm value: Environmental social governance as moderating variable. </w:t>
      </w:r>
      <w:r w:rsidRPr="00971568">
        <w:rPr>
          <w:i/>
          <w:iCs/>
          <w:color w:val="000000" w:themeColor="text1"/>
        </w:rPr>
        <w:t>Binus Business Review</w:t>
      </w:r>
      <w:r w:rsidRPr="00971568">
        <w:rPr>
          <w:color w:val="000000" w:themeColor="text1"/>
        </w:rPr>
        <w:t xml:space="preserve">, </w:t>
      </w:r>
      <w:r w:rsidRPr="00971568">
        <w:rPr>
          <w:i/>
          <w:iCs/>
          <w:color w:val="000000" w:themeColor="text1"/>
        </w:rPr>
        <w:t>16</w:t>
      </w:r>
      <w:r w:rsidRPr="00971568">
        <w:rPr>
          <w:color w:val="000000" w:themeColor="text1"/>
        </w:rPr>
        <w:t>(3), 261–274.</w:t>
      </w:r>
      <w:r w:rsidR="00971568" w:rsidRPr="00971568">
        <w:rPr>
          <w:color w:val="000000" w:themeColor="text1"/>
        </w:rPr>
        <w:t xml:space="preserve"> </w:t>
      </w:r>
      <w:hyperlink r:id="rId30" w:history="1">
        <w:r w:rsidR="00971568" w:rsidRPr="00971568">
          <w:rPr>
            <w:rStyle w:val="Hyperlink"/>
            <w:color w:val="000000" w:themeColor="text1"/>
            <w:u w:val="none"/>
          </w:rPr>
          <w:t>https://doi.org/10.21512/bbr.v16i3.13573</w:t>
        </w:r>
      </w:hyperlink>
    </w:p>
    <w:p w14:paraId="3C229C0D"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Nugrahani, W. P., &amp; Yuniarti, R. (2021). Pengaruh board gender, dewan komisaris independen, komite audit dan kepemilikan institusional terhadap kinerja keuangan </w:t>
      </w:r>
      <w:r w:rsidRPr="00971568">
        <w:rPr>
          <w:color w:val="000000" w:themeColor="text1"/>
        </w:rPr>
        <w:t>perusahaan. </w:t>
      </w:r>
      <w:r w:rsidRPr="00971568">
        <w:rPr>
          <w:i/>
          <w:iCs/>
          <w:color w:val="000000" w:themeColor="text1"/>
        </w:rPr>
        <w:t>Jurnal Bisnis, Ekonomi, Dan Sains</w:t>
      </w:r>
      <w:r w:rsidRPr="00971568">
        <w:rPr>
          <w:color w:val="000000" w:themeColor="text1"/>
        </w:rPr>
        <w:t>, </w:t>
      </w:r>
      <w:r w:rsidRPr="00971568">
        <w:rPr>
          <w:i/>
          <w:iCs/>
          <w:color w:val="000000" w:themeColor="text1"/>
        </w:rPr>
        <w:t>1</w:t>
      </w:r>
      <w:r w:rsidRPr="00971568">
        <w:rPr>
          <w:color w:val="000000" w:themeColor="text1"/>
        </w:rPr>
        <w:t>(1), 59-68.</w:t>
      </w:r>
      <w:r w:rsidR="00971568" w:rsidRPr="00971568">
        <w:rPr>
          <w:color w:val="000000" w:themeColor="text1"/>
        </w:rPr>
        <w:t xml:space="preserve"> </w:t>
      </w:r>
      <w:hyperlink r:id="rId31" w:history="1">
        <w:r w:rsidR="00971568" w:rsidRPr="00971568">
          <w:rPr>
            <w:rStyle w:val="Hyperlink"/>
            <w:color w:val="000000" w:themeColor="text1"/>
            <w:u w:val="none"/>
          </w:rPr>
          <w:t>https://doi.org/10.33197/bes.vol1.iss1.2021.652</w:t>
        </w:r>
      </w:hyperlink>
    </w:p>
    <w:p w14:paraId="16C96755" w14:textId="77777777" w:rsidR="00FD366E" w:rsidRPr="00971568" w:rsidRDefault="007434EE" w:rsidP="00E54755">
      <w:pPr>
        <w:spacing w:line="240" w:lineRule="auto"/>
        <w:ind w:left="720" w:hanging="720"/>
        <w:rPr>
          <w:color w:val="000000" w:themeColor="text1"/>
        </w:rPr>
      </w:pPr>
      <w:r w:rsidRPr="00971568">
        <w:rPr>
          <w:color w:val="000000" w:themeColor="text1"/>
        </w:rPr>
        <w:t>Nuzula, A., &amp; Maryanti, E. (2025). Gender Diversity, Audit Committee, Ownership Stru</w:t>
      </w:r>
      <w:r w:rsidRPr="00971568">
        <w:rPr>
          <w:color w:val="000000" w:themeColor="text1"/>
        </w:rPr>
        <w:t>cture on Financial Performance and Firm Value. In </w:t>
      </w:r>
      <w:r w:rsidRPr="00971568">
        <w:rPr>
          <w:i/>
          <w:iCs/>
          <w:color w:val="000000" w:themeColor="text1"/>
        </w:rPr>
        <w:t>SHS Web of Conferences</w:t>
      </w:r>
      <w:r w:rsidRPr="00971568">
        <w:rPr>
          <w:color w:val="000000" w:themeColor="text1"/>
        </w:rPr>
        <w:t> (Vol. 212, p. 01010). EDP Sciences.</w:t>
      </w:r>
      <w:r w:rsidR="00971568" w:rsidRPr="00971568">
        <w:rPr>
          <w:color w:val="000000" w:themeColor="text1"/>
        </w:rPr>
        <w:t xml:space="preserve"> </w:t>
      </w:r>
      <w:hyperlink r:id="rId32" w:history="1">
        <w:r w:rsidR="00971568" w:rsidRPr="00971568">
          <w:rPr>
            <w:rStyle w:val="Hyperlink"/>
            <w:color w:val="000000" w:themeColor="text1"/>
            <w:u w:val="none"/>
          </w:rPr>
          <w:t>https://www.shsconferences.org/articles/shsconf/abs/2025/03/shsconf_icarsess2024_01010/shsconf_icarsess2024_01010.html</w:t>
        </w:r>
      </w:hyperlink>
    </w:p>
    <w:p w14:paraId="478DDBBB" w14:textId="77777777" w:rsidR="00FD366E" w:rsidRPr="00971568" w:rsidRDefault="007434EE" w:rsidP="00052218">
      <w:pPr>
        <w:spacing w:line="240" w:lineRule="auto"/>
        <w:ind w:left="720" w:hanging="720"/>
        <w:rPr>
          <w:color w:val="000000" w:themeColor="text1"/>
        </w:rPr>
      </w:pPr>
      <w:r w:rsidRPr="00971568">
        <w:rPr>
          <w:color w:val="000000" w:themeColor="text1"/>
        </w:rPr>
        <w:t>Organisation for Economic Co-operation and Development. (2009). </w:t>
      </w:r>
      <w:r w:rsidRPr="00971568">
        <w:rPr>
          <w:i/>
          <w:iCs/>
          <w:color w:val="000000" w:themeColor="text1"/>
        </w:rPr>
        <w:t>Guide on fighting abusive related party transactions in Asia</w:t>
      </w:r>
      <w:r w:rsidRPr="00971568">
        <w:rPr>
          <w:color w:val="000000" w:themeColor="text1"/>
        </w:rPr>
        <w:t>. OECD Publis</w:t>
      </w:r>
      <w:r w:rsidRPr="00971568">
        <w:rPr>
          <w:color w:val="000000" w:themeColor="text1"/>
        </w:rPr>
        <w:t>hing.</w:t>
      </w:r>
      <w:r w:rsidRPr="00971568">
        <w:rPr>
          <w:rFonts w:ascii="Arial" w:hAnsi="Arial" w:cs="Arial"/>
          <w:color w:val="000000" w:themeColor="text1"/>
          <w:sz w:val="21"/>
          <w:szCs w:val="21"/>
          <w:shd w:val="clear" w:color="auto" w:fill="FFFFFF"/>
        </w:rPr>
        <w:t xml:space="preserve"> </w:t>
      </w:r>
      <w:r w:rsidRPr="00971568">
        <w:rPr>
          <w:color w:val="000000" w:themeColor="text1"/>
        </w:rPr>
        <w:t>https://doi.org/10.1787/cfe7386d-en</w:t>
      </w:r>
    </w:p>
    <w:p w14:paraId="28336316" w14:textId="77777777" w:rsidR="00FD366E" w:rsidRPr="00971568" w:rsidRDefault="007434EE" w:rsidP="00847A12">
      <w:pPr>
        <w:spacing w:line="240" w:lineRule="auto"/>
        <w:ind w:left="720" w:hanging="720"/>
        <w:rPr>
          <w:color w:val="000000" w:themeColor="text1"/>
        </w:rPr>
      </w:pPr>
      <w:r w:rsidRPr="00971568">
        <w:rPr>
          <w:color w:val="000000" w:themeColor="text1"/>
        </w:rPr>
        <w:t>Organisation for Economic Co-operation and Development. (2023). </w:t>
      </w:r>
      <w:r w:rsidRPr="00971568">
        <w:rPr>
          <w:i/>
          <w:iCs/>
          <w:color w:val="000000" w:themeColor="text1"/>
        </w:rPr>
        <w:t>G20/OECD principles of corporate governance 2023</w:t>
      </w:r>
      <w:r w:rsidRPr="00971568">
        <w:rPr>
          <w:color w:val="000000" w:themeColor="text1"/>
        </w:rPr>
        <w:t>. OECD Publishing. https://www.oecd.org/en/publications/g20-oecd-principles-of-corporate-governance-20</w:t>
      </w:r>
      <w:r w:rsidRPr="00971568">
        <w:rPr>
          <w:color w:val="000000" w:themeColor="text1"/>
        </w:rPr>
        <w:t>23_ed750b30-en</w:t>
      </w:r>
    </w:p>
    <w:p w14:paraId="566D07C6"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Otoritas Jasa Keuangan. (2014). </w:t>
      </w:r>
      <w:r w:rsidRPr="00971568">
        <w:rPr>
          <w:i/>
          <w:iCs/>
          <w:color w:val="000000" w:themeColor="text1"/>
        </w:rPr>
        <w:t>Peraturan Otoritas Jasa Keuangan Nomor 33/POJK.04/2014 tentang direksi dan dewan komisaris emiten atau perusahaan publik</w:t>
      </w:r>
      <w:r w:rsidRPr="00971568">
        <w:rPr>
          <w:color w:val="000000" w:themeColor="text1"/>
        </w:rPr>
        <w:t>.</w:t>
      </w:r>
      <w:r w:rsidR="00971568" w:rsidRPr="00971568">
        <w:rPr>
          <w:color w:val="000000" w:themeColor="text1"/>
        </w:rPr>
        <w:t xml:space="preserve"> </w:t>
      </w:r>
      <w:hyperlink r:id="rId33" w:history="1">
        <w:r w:rsidR="00971568" w:rsidRPr="00971568">
          <w:rPr>
            <w:rStyle w:val="Hyperlink"/>
            <w:color w:val="000000" w:themeColor="text1"/>
            <w:u w:val="none"/>
          </w:rPr>
          <w:t>https://ojk.go.id/id/regulasi/otoritas-jasa-keuangan/peraturan-ojk/Documents/Pages/POJK-Nomor-33-Tahun-2014/POJK%2033-2014.pdf</w:t>
        </w:r>
      </w:hyperlink>
    </w:p>
    <w:p w14:paraId="2FD02D65" w14:textId="77777777" w:rsidR="00FD366E" w:rsidRPr="00971568" w:rsidRDefault="007434EE" w:rsidP="00E54755">
      <w:pPr>
        <w:spacing w:after="0" w:line="240" w:lineRule="auto"/>
        <w:ind w:left="720" w:hanging="720"/>
        <w:rPr>
          <w:color w:val="000000" w:themeColor="text1"/>
        </w:rPr>
        <w:sectPr w:rsidR="00FD366E" w:rsidRPr="00971568" w:rsidSect="007E3DD5">
          <w:pgSz w:w="11906" w:h="16838" w:code="9"/>
          <w:pgMar w:top="2268" w:right="1701" w:bottom="1701" w:left="2268" w:header="720" w:footer="720" w:gutter="0"/>
          <w:pgNumType w:start="3"/>
          <w:cols w:space="720"/>
          <w:docGrid w:linePitch="360"/>
        </w:sectPr>
      </w:pPr>
      <w:r w:rsidRPr="00971568">
        <w:rPr>
          <w:color w:val="000000" w:themeColor="text1"/>
        </w:rPr>
        <w:t xml:space="preserve">Otoritas Jasa Keuangan. (2015). </w:t>
      </w:r>
      <w:r w:rsidRPr="00971568">
        <w:rPr>
          <w:i/>
          <w:iCs/>
          <w:color w:val="000000" w:themeColor="text1"/>
        </w:rPr>
        <w:t>Peraturan Otor</w:t>
      </w:r>
      <w:r w:rsidRPr="00971568">
        <w:rPr>
          <w:i/>
          <w:iCs/>
          <w:color w:val="000000" w:themeColor="text1"/>
        </w:rPr>
        <w:t xml:space="preserve">itas Jasa Keuangan Nomor 55/POJK.04/2015 tentang pembentukan dan pedoman pelaksanaan kerja </w:t>
      </w:r>
    </w:p>
    <w:p w14:paraId="606A35D6" w14:textId="77777777" w:rsidR="00FD366E" w:rsidRPr="00971568" w:rsidRDefault="007434EE" w:rsidP="00E54755">
      <w:pPr>
        <w:spacing w:line="240" w:lineRule="auto"/>
        <w:ind w:left="720" w:hanging="720"/>
        <w:rPr>
          <w:color w:val="000000" w:themeColor="text1"/>
        </w:rPr>
      </w:pPr>
      <w:r w:rsidRPr="00971568">
        <w:rPr>
          <w:i/>
          <w:iCs/>
          <w:color w:val="000000" w:themeColor="text1"/>
        </w:rPr>
        <w:lastRenderedPageBreak/>
        <w:t>komite audit</w:t>
      </w:r>
      <w:r w:rsidRPr="00971568">
        <w:rPr>
          <w:color w:val="000000" w:themeColor="text1"/>
        </w:rPr>
        <w:t>.</w:t>
      </w:r>
      <w:r w:rsidR="00971568" w:rsidRPr="00971568">
        <w:rPr>
          <w:color w:val="000000" w:themeColor="text1"/>
        </w:rPr>
        <w:t xml:space="preserve"> </w:t>
      </w:r>
      <w:hyperlink r:id="rId34" w:history="1">
        <w:r w:rsidR="00971568" w:rsidRPr="00971568">
          <w:rPr>
            <w:rStyle w:val="Hyperlink"/>
            <w:color w:val="000000" w:themeColor="text1"/>
            <w:u w:val="none"/>
          </w:rPr>
          <w:t>https://ojk.go.id/id/regulasi/otoritas-jasa-keuangan/peraturan-ojk/Documents/Pages/POJK-Nomor-55-Tahun-2015/POJK%2055-2015.pdf</w:t>
        </w:r>
      </w:hyperlink>
    </w:p>
    <w:p w14:paraId="65A02AC8"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Otoritas Jasa Keuangan. (2023). </w:t>
      </w:r>
      <w:r w:rsidRPr="00971568">
        <w:rPr>
          <w:i/>
          <w:iCs/>
          <w:color w:val="000000" w:themeColor="text1"/>
        </w:rPr>
        <w:t>Peraturan OJK Nomor 17 Tahun 2023 tentang Penerapan Tata Kelola bagi Bank Umum</w:t>
      </w:r>
      <w:r w:rsidRPr="00971568">
        <w:rPr>
          <w:color w:val="000000" w:themeColor="text1"/>
        </w:rPr>
        <w:t>.</w:t>
      </w:r>
      <w:r w:rsidR="00971568" w:rsidRPr="00971568">
        <w:rPr>
          <w:color w:val="000000" w:themeColor="text1"/>
        </w:rPr>
        <w:t xml:space="preserve"> </w:t>
      </w:r>
      <w:hyperlink r:id="rId35" w:history="1">
        <w:r w:rsidR="00971568" w:rsidRPr="00971568">
          <w:rPr>
            <w:rStyle w:val="Hyperlink"/>
            <w:color w:val="000000" w:themeColor="text1"/>
            <w:u w:val="none"/>
          </w:rPr>
          <w:t>https://ojk.go.id/id/regulasi/otoritas-jasa-keuangan/peraturan-ojk/Documents/Pages/POJK-Nomor-17-Tahun-2023/POJK 17-2023.pdf</w:t>
        </w:r>
      </w:hyperlink>
      <w:r w:rsidRPr="00971568">
        <w:rPr>
          <w:color w:val="000000" w:themeColor="text1"/>
        </w:rPr>
        <w:t xml:space="preserve"> </w:t>
      </w:r>
    </w:p>
    <w:p w14:paraId="4C9624E7" w14:textId="77777777" w:rsidR="00FD366E" w:rsidRPr="00971568" w:rsidRDefault="007434EE" w:rsidP="00E54755">
      <w:pPr>
        <w:spacing w:line="240" w:lineRule="auto"/>
        <w:ind w:left="720" w:hanging="720"/>
        <w:rPr>
          <w:color w:val="000000" w:themeColor="text1"/>
        </w:rPr>
      </w:pPr>
      <w:r w:rsidRPr="00971568">
        <w:rPr>
          <w:color w:val="000000" w:themeColor="text1"/>
        </w:rPr>
        <w:t>Pramudityo,</w:t>
      </w:r>
      <w:r w:rsidRPr="00971568">
        <w:rPr>
          <w:color w:val="000000" w:themeColor="text1"/>
        </w:rPr>
        <w:t xml:space="preserve"> W. A.</w:t>
      </w:r>
      <w:r w:rsidR="005032E0">
        <w:rPr>
          <w:color w:val="000000" w:themeColor="text1"/>
        </w:rPr>
        <w:t>,</w:t>
      </w:r>
      <w:r w:rsidRPr="00971568">
        <w:rPr>
          <w:color w:val="000000" w:themeColor="text1"/>
        </w:rPr>
        <w:t xml:space="preserve"> &amp; Sofie (2023). Pengaruh Komite Audit, Dewan Komisaris Independen, Dewan Direksi Dan Kepemilikan Institusional Terhadap Kinerja Keuangan Perusahaan. </w:t>
      </w:r>
      <w:r w:rsidRPr="00971568">
        <w:rPr>
          <w:i/>
          <w:iCs/>
          <w:color w:val="000000" w:themeColor="text1"/>
        </w:rPr>
        <w:t>Jurnal Ekonomi Trisakti</w:t>
      </w:r>
      <w:r w:rsidRPr="00971568">
        <w:rPr>
          <w:color w:val="000000" w:themeColor="text1"/>
        </w:rPr>
        <w:t>, </w:t>
      </w:r>
      <w:r w:rsidRPr="00971568">
        <w:rPr>
          <w:i/>
          <w:iCs/>
          <w:color w:val="000000" w:themeColor="text1"/>
        </w:rPr>
        <w:t>3</w:t>
      </w:r>
      <w:r w:rsidRPr="00971568">
        <w:rPr>
          <w:color w:val="000000" w:themeColor="text1"/>
        </w:rPr>
        <w:t>(2), 3873-3880.</w:t>
      </w:r>
      <w:r w:rsidR="00971568" w:rsidRPr="00971568">
        <w:rPr>
          <w:color w:val="000000" w:themeColor="text1"/>
        </w:rPr>
        <w:t xml:space="preserve"> </w:t>
      </w:r>
      <w:hyperlink r:id="rId36" w:history="1">
        <w:r w:rsidR="00971568" w:rsidRPr="00971568">
          <w:rPr>
            <w:rStyle w:val="Hyperlink"/>
            <w:color w:val="000000" w:themeColor="text1"/>
            <w:u w:val="none"/>
          </w:rPr>
          <w:t>https://e-journal.trisakti.ac.id/index.php/jet/article/view/18026</w:t>
        </w:r>
      </w:hyperlink>
    </w:p>
    <w:p w14:paraId="3712A17D" w14:textId="77777777" w:rsidR="00FD366E" w:rsidRPr="00971568" w:rsidRDefault="007434EE" w:rsidP="00E54755">
      <w:pPr>
        <w:spacing w:line="240" w:lineRule="auto"/>
        <w:ind w:left="720" w:hanging="720"/>
        <w:rPr>
          <w:b/>
          <w:bCs/>
          <w:color w:val="000000" w:themeColor="text1"/>
        </w:rPr>
      </w:pPr>
      <w:r w:rsidRPr="00971568">
        <w:rPr>
          <w:color w:val="000000" w:themeColor="text1"/>
        </w:rPr>
        <w:t>Rahmawati, I. (2021). Pengaruh dewan komisaris independen terhadap nilai perusahaan sub sektor perkebunan yang terdaftar di BEI. </w:t>
      </w:r>
      <w:r w:rsidRPr="00971568">
        <w:rPr>
          <w:i/>
          <w:iCs/>
          <w:color w:val="000000" w:themeColor="text1"/>
        </w:rPr>
        <w:t>Jurnal Pendidikan, Akuntansi dan Keu</w:t>
      </w:r>
      <w:r w:rsidRPr="00971568">
        <w:rPr>
          <w:i/>
          <w:iCs/>
          <w:color w:val="000000" w:themeColor="text1"/>
        </w:rPr>
        <w:t>angan</w:t>
      </w:r>
      <w:r w:rsidRPr="00971568">
        <w:rPr>
          <w:color w:val="000000" w:themeColor="text1"/>
        </w:rPr>
        <w:t>, </w:t>
      </w:r>
      <w:r w:rsidRPr="00971568">
        <w:rPr>
          <w:i/>
          <w:iCs/>
          <w:color w:val="000000" w:themeColor="text1"/>
        </w:rPr>
        <w:t>4</w:t>
      </w:r>
      <w:r w:rsidRPr="00971568">
        <w:rPr>
          <w:color w:val="000000" w:themeColor="text1"/>
        </w:rPr>
        <w:t>(2), 96-106.</w:t>
      </w:r>
      <w:r w:rsidR="00971568" w:rsidRPr="00971568">
        <w:rPr>
          <w:color w:val="000000" w:themeColor="text1"/>
        </w:rPr>
        <w:t xml:space="preserve"> </w:t>
      </w:r>
      <w:hyperlink r:id="rId37" w:history="1">
        <w:r w:rsidR="00971568" w:rsidRPr="00971568">
          <w:rPr>
            <w:rStyle w:val="Hyperlink"/>
            <w:color w:val="000000" w:themeColor="text1"/>
            <w:u w:val="none"/>
          </w:rPr>
          <w:t>https://doi.org/10.47080/progress.v4i2.1311</w:t>
        </w:r>
      </w:hyperlink>
    </w:p>
    <w:p w14:paraId="60C9FDA4" w14:textId="77777777" w:rsidR="00FD366E" w:rsidRPr="00971568" w:rsidRDefault="007434EE" w:rsidP="00847A12">
      <w:pPr>
        <w:spacing w:line="240" w:lineRule="auto"/>
        <w:ind w:left="720" w:hanging="720"/>
        <w:rPr>
          <w:color w:val="000000" w:themeColor="text1"/>
        </w:rPr>
      </w:pPr>
      <w:r w:rsidRPr="00971568">
        <w:rPr>
          <w:color w:val="000000" w:themeColor="text1"/>
        </w:rPr>
        <w:t xml:space="preserve">Republik Indonesia. (2023). Undang-Undang Republik Indonesia Nomor 4 Tahun 2023 tentang Pengembangan dan Penguatan Sektor </w:t>
      </w:r>
      <w:r w:rsidRPr="00971568">
        <w:rPr>
          <w:color w:val="000000" w:themeColor="text1"/>
        </w:rPr>
        <w:t>Keuangan. Lembaran Negara Republik Indonesia Tahun 2023 Nomor 4, Tambahan Lembaran Negara Republik Indonesia Nomor 6845.</w:t>
      </w:r>
      <w:r w:rsidR="00971568" w:rsidRPr="00971568">
        <w:rPr>
          <w:color w:val="000000" w:themeColor="text1"/>
        </w:rPr>
        <w:t xml:space="preserve"> </w:t>
      </w:r>
      <w:hyperlink r:id="rId38" w:history="1">
        <w:r w:rsidR="00971568" w:rsidRPr="00971568">
          <w:rPr>
            <w:rStyle w:val="Hyperlink"/>
            <w:color w:val="000000" w:themeColor="text1"/>
            <w:u w:val="none"/>
          </w:rPr>
          <w:t>https://peraturan.bpk.go.id/Details/240203/uu-no-4-tahun-2023</w:t>
        </w:r>
      </w:hyperlink>
    </w:p>
    <w:p w14:paraId="4014767D" w14:textId="77777777" w:rsidR="00FD366E" w:rsidRPr="00971568" w:rsidRDefault="007434EE" w:rsidP="00E54755">
      <w:pPr>
        <w:spacing w:line="240" w:lineRule="auto"/>
        <w:ind w:left="720" w:hanging="720"/>
        <w:rPr>
          <w:color w:val="000000" w:themeColor="text1"/>
        </w:rPr>
      </w:pPr>
      <w:r w:rsidRPr="00971568">
        <w:rPr>
          <w:color w:val="000000" w:themeColor="text1"/>
        </w:rPr>
        <w:t>Rompis, N. K., Worang, F. G., &amp; Tulung, J. E. (2018). Pengaruh ukuran dewan, keberagaman usia dan keberagaman gender terhadap kinerja keuangan bank pembangunan daerah di seluruh Indonesia Buku 2 Tahun 2014-2016. </w:t>
      </w:r>
      <w:r w:rsidRPr="00971568">
        <w:rPr>
          <w:i/>
          <w:iCs/>
          <w:color w:val="000000" w:themeColor="text1"/>
        </w:rPr>
        <w:t>Jurnal EMBA</w:t>
      </w:r>
      <w:r w:rsidRPr="00971568">
        <w:rPr>
          <w:color w:val="000000" w:themeColor="text1"/>
        </w:rPr>
        <w:t>, </w:t>
      </w:r>
      <w:r w:rsidRPr="00971568">
        <w:rPr>
          <w:i/>
          <w:iCs/>
          <w:color w:val="000000" w:themeColor="text1"/>
        </w:rPr>
        <w:t>6</w:t>
      </w:r>
      <w:r w:rsidRPr="00971568">
        <w:rPr>
          <w:color w:val="000000" w:themeColor="text1"/>
        </w:rPr>
        <w:t>(4), 2628-2637.</w:t>
      </w:r>
    </w:p>
    <w:p w14:paraId="6C126130" w14:textId="77777777" w:rsidR="00564C7B" w:rsidRPr="00971568" w:rsidRDefault="007434EE" w:rsidP="00E54755">
      <w:pPr>
        <w:spacing w:line="240" w:lineRule="auto"/>
        <w:ind w:left="720" w:hanging="720"/>
        <w:rPr>
          <w:color w:val="000000" w:themeColor="text1"/>
        </w:rPr>
      </w:pPr>
      <w:r w:rsidRPr="00971568">
        <w:rPr>
          <w:color w:val="000000" w:themeColor="text1"/>
        </w:rPr>
        <w:t>Spence, M. (1973). Job market signaling. The Quartely Journal of Economics, 87(3), 355-374.</w:t>
      </w:r>
      <w:r w:rsidR="00971568" w:rsidRPr="00971568">
        <w:rPr>
          <w:color w:val="000000" w:themeColor="text1"/>
        </w:rPr>
        <w:t xml:space="preserve"> </w:t>
      </w:r>
      <w:r w:rsidR="005442CA" w:rsidRPr="00971568">
        <w:rPr>
          <w:color w:val="000000" w:themeColor="text1"/>
        </w:rPr>
        <w:t>https://doi.org/10.2307/1882010</w:t>
      </w:r>
    </w:p>
    <w:p w14:paraId="18276F18"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Sugiyono. (2013). </w:t>
      </w:r>
      <w:r w:rsidRPr="00971568">
        <w:rPr>
          <w:i/>
          <w:iCs/>
          <w:color w:val="000000" w:themeColor="text1"/>
        </w:rPr>
        <w:t>Metode penelitian kuantitatif, kualitatif, dan R&amp;D</w:t>
      </w:r>
      <w:r w:rsidRPr="00971568">
        <w:rPr>
          <w:color w:val="000000" w:themeColor="text1"/>
        </w:rPr>
        <w:t>. Alfabeta.</w:t>
      </w:r>
    </w:p>
    <w:p w14:paraId="3BDD9A8D" w14:textId="77777777" w:rsidR="00FD366E" w:rsidRPr="00971568" w:rsidRDefault="007434EE" w:rsidP="00E54755">
      <w:pPr>
        <w:spacing w:line="240" w:lineRule="auto"/>
        <w:ind w:left="720" w:hanging="720"/>
        <w:rPr>
          <w:color w:val="000000" w:themeColor="text1"/>
        </w:rPr>
      </w:pPr>
      <w:r w:rsidRPr="00971568">
        <w:rPr>
          <w:color w:val="000000" w:themeColor="text1"/>
        </w:rPr>
        <w:t>Syariati, A., &amp; Purwaningsih, E. (2024). Pengaruh Ka</w:t>
      </w:r>
      <w:r w:rsidRPr="00971568">
        <w:rPr>
          <w:color w:val="000000" w:themeColor="text1"/>
        </w:rPr>
        <w:t>rakteristik Komite Audit Terhadap Kinerja Perusahaan. </w:t>
      </w:r>
      <w:r w:rsidRPr="00971568">
        <w:rPr>
          <w:i/>
          <w:iCs/>
          <w:color w:val="000000" w:themeColor="text1"/>
        </w:rPr>
        <w:t>Journal of Economic, Bussines and Accounting (COSTING)</w:t>
      </w:r>
      <w:r w:rsidRPr="00971568">
        <w:rPr>
          <w:color w:val="000000" w:themeColor="text1"/>
        </w:rPr>
        <w:t>, </w:t>
      </w:r>
      <w:r w:rsidRPr="00971568">
        <w:rPr>
          <w:i/>
          <w:iCs/>
          <w:color w:val="000000" w:themeColor="text1"/>
        </w:rPr>
        <w:t>7</w:t>
      </w:r>
      <w:r w:rsidRPr="00971568">
        <w:rPr>
          <w:color w:val="000000" w:themeColor="text1"/>
        </w:rPr>
        <w:t>(5), 1676-1685.</w:t>
      </w:r>
      <w:r w:rsidR="00971568" w:rsidRPr="00971568">
        <w:rPr>
          <w:color w:val="000000" w:themeColor="text1"/>
        </w:rPr>
        <w:t xml:space="preserve"> </w:t>
      </w:r>
      <w:hyperlink r:id="rId39" w:history="1">
        <w:r w:rsidR="00971568" w:rsidRPr="00971568">
          <w:rPr>
            <w:rStyle w:val="Hyperlink"/>
            <w:color w:val="000000" w:themeColor="text1"/>
            <w:u w:val="none"/>
          </w:rPr>
          <w:t>https://doi.org/10.31539/costing.v7i5.11936</w:t>
        </w:r>
      </w:hyperlink>
    </w:p>
    <w:p w14:paraId="3F7EDADB" w14:textId="77777777" w:rsidR="00FD366E" w:rsidRPr="00971568" w:rsidRDefault="007434EE" w:rsidP="00E54755">
      <w:pPr>
        <w:spacing w:line="240" w:lineRule="auto"/>
        <w:ind w:left="720" w:hanging="720"/>
        <w:rPr>
          <w:color w:val="000000" w:themeColor="text1"/>
        </w:rPr>
      </w:pPr>
      <w:r w:rsidRPr="00971568">
        <w:rPr>
          <w:color w:val="000000" w:themeColor="text1"/>
        </w:rPr>
        <w:t>Utaminingsih, N. S., &amp; Ku</w:t>
      </w:r>
      <w:r w:rsidRPr="00971568">
        <w:rPr>
          <w:color w:val="000000" w:themeColor="text1"/>
        </w:rPr>
        <w:t>rniasih, D. (2022). The role of internal control in the relationship of board gender diversity, audit committee, and independent commissioner</w:t>
      </w:r>
      <w:r w:rsidR="00BD1AC1">
        <w:rPr>
          <w:color w:val="000000" w:themeColor="text1"/>
        </w:rPr>
        <w:t xml:space="preserve"> on tax agresiveness</w:t>
      </w:r>
      <w:r w:rsidRPr="00971568">
        <w:rPr>
          <w:color w:val="000000" w:themeColor="text1"/>
        </w:rPr>
        <w:t xml:space="preserve">. </w:t>
      </w:r>
      <w:r w:rsidRPr="00971568">
        <w:rPr>
          <w:i/>
          <w:iCs/>
          <w:color w:val="000000" w:themeColor="text1"/>
        </w:rPr>
        <w:t>Cogent Business &amp; Management</w:t>
      </w:r>
      <w:r w:rsidRPr="00971568">
        <w:rPr>
          <w:color w:val="000000" w:themeColor="text1"/>
        </w:rPr>
        <w:t>, 9(1).</w:t>
      </w:r>
      <w:r w:rsidR="00971568" w:rsidRPr="00971568">
        <w:rPr>
          <w:color w:val="000000" w:themeColor="text1"/>
        </w:rPr>
        <w:t xml:space="preserve"> </w:t>
      </w:r>
      <w:hyperlink r:id="rId40" w:history="1">
        <w:r w:rsidR="00971568" w:rsidRPr="00971568">
          <w:rPr>
            <w:rStyle w:val="Hyperlink"/>
            <w:color w:val="000000" w:themeColor="text1"/>
            <w:u w:val="none"/>
          </w:rPr>
          <w:t>https://doi.org/10.1080/23311975.2022.2122333</w:t>
        </w:r>
      </w:hyperlink>
    </w:p>
    <w:p w14:paraId="009ECFEA" w14:textId="77777777" w:rsidR="00FD366E" w:rsidRPr="00971568" w:rsidRDefault="007434EE" w:rsidP="00E54755">
      <w:pPr>
        <w:spacing w:line="240" w:lineRule="auto"/>
        <w:ind w:left="720" w:hanging="720"/>
        <w:rPr>
          <w:color w:val="000000" w:themeColor="text1"/>
        </w:rPr>
      </w:pPr>
      <w:r w:rsidRPr="00971568">
        <w:rPr>
          <w:color w:val="000000" w:themeColor="text1"/>
        </w:rPr>
        <w:t xml:space="preserve">Wooldridge, J. M. (2020). </w:t>
      </w:r>
      <w:r w:rsidRPr="00971568">
        <w:rPr>
          <w:i/>
          <w:iCs/>
          <w:color w:val="000000" w:themeColor="text1"/>
        </w:rPr>
        <w:t>Introductory econometrics: A modern approach</w:t>
      </w:r>
      <w:r w:rsidRPr="00971568">
        <w:rPr>
          <w:color w:val="000000" w:themeColor="text1"/>
        </w:rPr>
        <w:t xml:space="preserve"> (7th ed.). Cengage Learning.</w:t>
      </w:r>
    </w:p>
    <w:p w14:paraId="679AFB01" w14:textId="77777777" w:rsidR="00FD366E" w:rsidRPr="00971568" w:rsidRDefault="007434EE" w:rsidP="00E54755">
      <w:pPr>
        <w:spacing w:after="0" w:line="240" w:lineRule="auto"/>
        <w:ind w:left="720" w:hanging="720"/>
        <w:rPr>
          <w:color w:val="000000" w:themeColor="text1"/>
        </w:rPr>
        <w:sectPr w:rsidR="00FD366E" w:rsidRPr="00971568" w:rsidSect="007E3DD5">
          <w:pgSz w:w="11906" w:h="16838" w:code="9"/>
          <w:pgMar w:top="2268" w:right="1701" w:bottom="1701" w:left="2268" w:header="720" w:footer="720" w:gutter="0"/>
          <w:pgNumType w:start="4"/>
          <w:cols w:space="720"/>
          <w:docGrid w:linePitch="360"/>
        </w:sectPr>
      </w:pPr>
      <w:r w:rsidRPr="00971568">
        <w:rPr>
          <w:color w:val="000000" w:themeColor="text1"/>
        </w:rPr>
        <w:t>Young, M. N., Peng, M. W., Ahlstrom, D., Bruton, G. D., &amp; Jiang, Y. (2008). Co</w:t>
      </w:r>
      <w:r w:rsidRPr="00971568">
        <w:rPr>
          <w:color w:val="000000" w:themeColor="text1"/>
        </w:rPr>
        <w:t>rporate governance in emerging economies: A review of the principal–</w:t>
      </w:r>
    </w:p>
    <w:p w14:paraId="3F9C3BA4" w14:textId="77777777" w:rsidR="00FD366E" w:rsidRPr="00971568" w:rsidRDefault="007434EE" w:rsidP="00E54755">
      <w:pPr>
        <w:spacing w:line="240" w:lineRule="auto"/>
        <w:ind w:left="720" w:hanging="720"/>
        <w:rPr>
          <w:color w:val="000000" w:themeColor="text1"/>
        </w:rPr>
      </w:pPr>
      <w:r w:rsidRPr="00971568">
        <w:rPr>
          <w:color w:val="000000" w:themeColor="text1"/>
        </w:rPr>
        <w:lastRenderedPageBreak/>
        <w:t xml:space="preserve">principal perspective. </w:t>
      </w:r>
      <w:r w:rsidRPr="00971568">
        <w:rPr>
          <w:i/>
          <w:iCs/>
          <w:color w:val="000000" w:themeColor="text1"/>
        </w:rPr>
        <w:t>Journal of Management Studies</w:t>
      </w:r>
      <w:r w:rsidRPr="00971568">
        <w:rPr>
          <w:color w:val="000000" w:themeColor="text1"/>
        </w:rPr>
        <w:t xml:space="preserve">, </w:t>
      </w:r>
      <w:r w:rsidRPr="00971568">
        <w:rPr>
          <w:i/>
          <w:iCs/>
          <w:color w:val="000000" w:themeColor="text1"/>
        </w:rPr>
        <w:t>45</w:t>
      </w:r>
      <w:r w:rsidRPr="00971568">
        <w:rPr>
          <w:color w:val="000000" w:themeColor="text1"/>
        </w:rPr>
        <w:t>(1), 196–220.</w:t>
      </w:r>
      <w:r w:rsidR="00971568" w:rsidRPr="00971568">
        <w:rPr>
          <w:color w:val="000000" w:themeColor="text1"/>
        </w:rPr>
        <w:t xml:space="preserve"> </w:t>
      </w:r>
      <w:hyperlink r:id="rId41" w:history="1">
        <w:r w:rsidR="00971568" w:rsidRPr="00971568">
          <w:rPr>
            <w:rStyle w:val="Hyperlink"/>
            <w:color w:val="000000" w:themeColor="text1"/>
            <w:u w:val="none"/>
          </w:rPr>
          <w:t>https://doi.org/10.1111/j.1467-6486.2007.00752.x</w:t>
        </w:r>
      </w:hyperlink>
    </w:p>
    <w:p w14:paraId="7C88128B" w14:textId="1B605036" w:rsidR="00052218" w:rsidRPr="007434EE" w:rsidRDefault="007434EE" w:rsidP="007434EE">
      <w:pPr>
        <w:spacing w:line="240" w:lineRule="auto"/>
        <w:ind w:left="720" w:hanging="720"/>
        <w:rPr>
          <w:color w:val="000000" w:themeColor="text1"/>
        </w:rPr>
      </w:pPr>
      <w:r w:rsidRPr="00971568">
        <w:rPr>
          <w:color w:val="000000" w:themeColor="text1"/>
        </w:rPr>
        <w:t xml:space="preserve">Zarefar, A., &amp; Narsa, I. M. (2023). Do corporate governance drive firm performance? Evidence from Indonesia. </w:t>
      </w:r>
      <w:r w:rsidRPr="00971568">
        <w:rPr>
          <w:i/>
          <w:iCs/>
          <w:color w:val="000000" w:themeColor="text1"/>
        </w:rPr>
        <w:t>Gestão &amp; Produção</w:t>
      </w:r>
      <w:r w:rsidRPr="00971568">
        <w:rPr>
          <w:color w:val="000000" w:themeColor="text1"/>
        </w:rPr>
        <w:t xml:space="preserve">, </w:t>
      </w:r>
      <w:r w:rsidRPr="00971568">
        <w:rPr>
          <w:i/>
          <w:iCs/>
          <w:color w:val="000000" w:themeColor="text1"/>
        </w:rPr>
        <w:t>30</w:t>
      </w:r>
      <w:r w:rsidRPr="00971568">
        <w:rPr>
          <w:color w:val="000000" w:themeColor="text1"/>
        </w:rPr>
        <w:t>(1).</w:t>
      </w:r>
      <w:r w:rsidR="00971568" w:rsidRPr="00971568">
        <w:rPr>
          <w:color w:val="000000" w:themeColor="text1"/>
        </w:rPr>
        <w:t xml:space="preserve"> </w:t>
      </w:r>
      <w:hyperlink r:id="rId42" w:history="1">
        <w:r w:rsidR="00971568" w:rsidRPr="00971568">
          <w:rPr>
            <w:rStyle w:val="Hyperlink"/>
            <w:color w:val="000000" w:themeColor="text1"/>
            <w:u w:val="none"/>
          </w:rPr>
          <w:t>https://doi.org/10.1590/1806-9649-2022v29e8023</w:t>
        </w:r>
      </w:hyperlink>
    </w:p>
    <w:sectPr w:rsidR="00052218" w:rsidRPr="007434EE" w:rsidSect="007E3DD5">
      <w:pgSz w:w="11906" w:h="16838" w:code="9"/>
      <w:pgMar w:top="2268" w:right="1701" w:bottom="1701" w:left="2268" w:header="720" w:footer="720" w:gutter="0"/>
      <w:pgNumType w:start="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980"/>
    <w:multiLevelType w:val="multilevel"/>
    <w:tmpl w:val="049909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D0AA3"/>
    <w:multiLevelType w:val="hybridMultilevel"/>
    <w:tmpl w:val="5EC8AABC"/>
    <w:lvl w:ilvl="0" w:tplc="BC14F7D4">
      <w:start w:val="1"/>
      <w:numFmt w:val="decimal"/>
      <w:lvlText w:val="%1."/>
      <w:lvlJc w:val="left"/>
      <w:pPr>
        <w:ind w:left="720" w:hanging="360"/>
      </w:pPr>
    </w:lvl>
    <w:lvl w:ilvl="1" w:tplc="17B4B01E" w:tentative="1">
      <w:start w:val="1"/>
      <w:numFmt w:val="lowerLetter"/>
      <w:lvlText w:val="%2."/>
      <w:lvlJc w:val="left"/>
      <w:pPr>
        <w:ind w:left="1440" w:hanging="360"/>
      </w:pPr>
    </w:lvl>
    <w:lvl w:ilvl="2" w:tplc="E6E80D9E" w:tentative="1">
      <w:start w:val="1"/>
      <w:numFmt w:val="lowerRoman"/>
      <w:lvlText w:val="%3."/>
      <w:lvlJc w:val="right"/>
      <w:pPr>
        <w:ind w:left="2160" w:hanging="180"/>
      </w:pPr>
    </w:lvl>
    <w:lvl w:ilvl="3" w:tplc="D5965AD8" w:tentative="1">
      <w:start w:val="1"/>
      <w:numFmt w:val="decimal"/>
      <w:lvlText w:val="%4."/>
      <w:lvlJc w:val="left"/>
      <w:pPr>
        <w:ind w:left="2880" w:hanging="360"/>
      </w:pPr>
    </w:lvl>
    <w:lvl w:ilvl="4" w:tplc="62BE8FDA" w:tentative="1">
      <w:start w:val="1"/>
      <w:numFmt w:val="lowerLetter"/>
      <w:lvlText w:val="%5."/>
      <w:lvlJc w:val="left"/>
      <w:pPr>
        <w:ind w:left="3600" w:hanging="360"/>
      </w:pPr>
    </w:lvl>
    <w:lvl w:ilvl="5" w:tplc="275A2570" w:tentative="1">
      <w:start w:val="1"/>
      <w:numFmt w:val="lowerRoman"/>
      <w:lvlText w:val="%6."/>
      <w:lvlJc w:val="right"/>
      <w:pPr>
        <w:ind w:left="4320" w:hanging="180"/>
      </w:pPr>
    </w:lvl>
    <w:lvl w:ilvl="6" w:tplc="A51A78D4" w:tentative="1">
      <w:start w:val="1"/>
      <w:numFmt w:val="decimal"/>
      <w:lvlText w:val="%7."/>
      <w:lvlJc w:val="left"/>
      <w:pPr>
        <w:ind w:left="5040" w:hanging="360"/>
      </w:pPr>
    </w:lvl>
    <w:lvl w:ilvl="7" w:tplc="B850865E" w:tentative="1">
      <w:start w:val="1"/>
      <w:numFmt w:val="lowerLetter"/>
      <w:lvlText w:val="%8."/>
      <w:lvlJc w:val="left"/>
      <w:pPr>
        <w:ind w:left="5760" w:hanging="360"/>
      </w:pPr>
    </w:lvl>
    <w:lvl w:ilvl="8" w:tplc="2A66E454" w:tentative="1">
      <w:start w:val="1"/>
      <w:numFmt w:val="lowerRoman"/>
      <w:lvlText w:val="%9."/>
      <w:lvlJc w:val="right"/>
      <w:pPr>
        <w:ind w:left="6480" w:hanging="180"/>
      </w:pPr>
    </w:lvl>
  </w:abstractNum>
  <w:abstractNum w:abstractNumId="2" w15:restartNumberingAfterBreak="0">
    <w:nsid w:val="0D314029"/>
    <w:multiLevelType w:val="multilevel"/>
    <w:tmpl w:val="5F0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5733"/>
    <w:multiLevelType w:val="hybridMultilevel"/>
    <w:tmpl w:val="035AEAC0"/>
    <w:lvl w:ilvl="0" w:tplc="2700AADA">
      <w:start w:val="1"/>
      <w:numFmt w:val="decimal"/>
      <w:lvlText w:val="%1."/>
      <w:lvlJc w:val="left"/>
      <w:pPr>
        <w:ind w:left="720" w:hanging="360"/>
      </w:pPr>
    </w:lvl>
    <w:lvl w:ilvl="1" w:tplc="EA764FC6" w:tentative="1">
      <w:start w:val="1"/>
      <w:numFmt w:val="lowerLetter"/>
      <w:lvlText w:val="%2."/>
      <w:lvlJc w:val="left"/>
      <w:pPr>
        <w:ind w:left="1440" w:hanging="360"/>
      </w:pPr>
    </w:lvl>
    <w:lvl w:ilvl="2" w:tplc="BE5E9B98" w:tentative="1">
      <w:start w:val="1"/>
      <w:numFmt w:val="lowerRoman"/>
      <w:lvlText w:val="%3."/>
      <w:lvlJc w:val="right"/>
      <w:pPr>
        <w:ind w:left="2160" w:hanging="180"/>
      </w:pPr>
    </w:lvl>
    <w:lvl w:ilvl="3" w:tplc="83AE47C2" w:tentative="1">
      <w:start w:val="1"/>
      <w:numFmt w:val="decimal"/>
      <w:lvlText w:val="%4."/>
      <w:lvlJc w:val="left"/>
      <w:pPr>
        <w:ind w:left="2880" w:hanging="360"/>
      </w:pPr>
    </w:lvl>
    <w:lvl w:ilvl="4" w:tplc="44224E86" w:tentative="1">
      <w:start w:val="1"/>
      <w:numFmt w:val="lowerLetter"/>
      <w:lvlText w:val="%5."/>
      <w:lvlJc w:val="left"/>
      <w:pPr>
        <w:ind w:left="3600" w:hanging="360"/>
      </w:pPr>
    </w:lvl>
    <w:lvl w:ilvl="5" w:tplc="BAEA3012" w:tentative="1">
      <w:start w:val="1"/>
      <w:numFmt w:val="lowerRoman"/>
      <w:lvlText w:val="%6."/>
      <w:lvlJc w:val="right"/>
      <w:pPr>
        <w:ind w:left="4320" w:hanging="180"/>
      </w:pPr>
    </w:lvl>
    <w:lvl w:ilvl="6" w:tplc="7B56FA78" w:tentative="1">
      <w:start w:val="1"/>
      <w:numFmt w:val="decimal"/>
      <w:lvlText w:val="%7."/>
      <w:lvlJc w:val="left"/>
      <w:pPr>
        <w:ind w:left="5040" w:hanging="360"/>
      </w:pPr>
    </w:lvl>
    <w:lvl w:ilvl="7" w:tplc="6A7EE1F0" w:tentative="1">
      <w:start w:val="1"/>
      <w:numFmt w:val="lowerLetter"/>
      <w:lvlText w:val="%8."/>
      <w:lvlJc w:val="left"/>
      <w:pPr>
        <w:ind w:left="5760" w:hanging="360"/>
      </w:pPr>
    </w:lvl>
    <w:lvl w:ilvl="8" w:tplc="3E580A14" w:tentative="1">
      <w:start w:val="1"/>
      <w:numFmt w:val="lowerRoman"/>
      <w:lvlText w:val="%9."/>
      <w:lvlJc w:val="right"/>
      <w:pPr>
        <w:ind w:left="6480" w:hanging="180"/>
      </w:pPr>
    </w:lvl>
  </w:abstractNum>
  <w:abstractNum w:abstractNumId="4" w15:restartNumberingAfterBreak="0">
    <w:nsid w:val="49F866D9"/>
    <w:multiLevelType w:val="multilevel"/>
    <w:tmpl w:val="49F866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E944A81"/>
    <w:multiLevelType w:val="hybridMultilevel"/>
    <w:tmpl w:val="070CBB6E"/>
    <w:lvl w:ilvl="0" w:tplc="DE2E2FFE">
      <w:start w:val="1"/>
      <w:numFmt w:val="decimal"/>
      <w:lvlText w:val="%1."/>
      <w:lvlJc w:val="left"/>
      <w:pPr>
        <w:ind w:left="1440" w:hanging="360"/>
      </w:pPr>
    </w:lvl>
    <w:lvl w:ilvl="1" w:tplc="9A1CCEB0" w:tentative="1">
      <w:start w:val="1"/>
      <w:numFmt w:val="lowerLetter"/>
      <w:lvlText w:val="%2."/>
      <w:lvlJc w:val="left"/>
      <w:pPr>
        <w:ind w:left="2160" w:hanging="360"/>
      </w:pPr>
    </w:lvl>
    <w:lvl w:ilvl="2" w:tplc="B0D68ED6" w:tentative="1">
      <w:start w:val="1"/>
      <w:numFmt w:val="lowerRoman"/>
      <w:lvlText w:val="%3."/>
      <w:lvlJc w:val="right"/>
      <w:pPr>
        <w:ind w:left="2880" w:hanging="180"/>
      </w:pPr>
    </w:lvl>
    <w:lvl w:ilvl="3" w:tplc="1A8A62DC" w:tentative="1">
      <w:start w:val="1"/>
      <w:numFmt w:val="decimal"/>
      <w:lvlText w:val="%4."/>
      <w:lvlJc w:val="left"/>
      <w:pPr>
        <w:ind w:left="3600" w:hanging="360"/>
      </w:pPr>
    </w:lvl>
    <w:lvl w:ilvl="4" w:tplc="1A3480DA" w:tentative="1">
      <w:start w:val="1"/>
      <w:numFmt w:val="lowerLetter"/>
      <w:lvlText w:val="%5."/>
      <w:lvlJc w:val="left"/>
      <w:pPr>
        <w:ind w:left="4320" w:hanging="360"/>
      </w:pPr>
    </w:lvl>
    <w:lvl w:ilvl="5" w:tplc="C5828110" w:tentative="1">
      <w:start w:val="1"/>
      <w:numFmt w:val="lowerRoman"/>
      <w:lvlText w:val="%6."/>
      <w:lvlJc w:val="right"/>
      <w:pPr>
        <w:ind w:left="5040" w:hanging="180"/>
      </w:pPr>
    </w:lvl>
    <w:lvl w:ilvl="6" w:tplc="E136893C" w:tentative="1">
      <w:start w:val="1"/>
      <w:numFmt w:val="decimal"/>
      <w:lvlText w:val="%7."/>
      <w:lvlJc w:val="left"/>
      <w:pPr>
        <w:ind w:left="5760" w:hanging="360"/>
      </w:pPr>
    </w:lvl>
    <w:lvl w:ilvl="7" w:tplc="44061F46" w:tentative="1">
      <w:start w:val="1"/>
      <w:numFmt w:val="lowerLetter"/>
      <w:lvlText w:val="%8."/>
      <w:lvlJc w:val="left"/>
      <w:pPr>
        <w:ind w:left="6480" w:hanging="360"/>
      </w:pPr>
    </w:lvl>
    <w:lvl w:ilvl="8" w:tplc="298AF38E" w:tentative="1">
      <w:start w:val="1"/>
      <w:numFmt w:val="lowerRoman"/>
      <w:lvlText w:val="%9."/>
      <w:lvlJc w:val="right"/>
      <w:pPr>
        <w:ind w:left="7200" w:hanging="180"/>
      </w:pPr>
    </w:lvl>
  </w:abstractNum>
  <w:abstractNum w:abstractNumId="6" w15:restartNumberingAfterBreak="0">
    <w:nsid w:val="54976EEB"/>
    <w:multiLevelType w:val="multilevel"/>
    <w:tmpl w:val="54976E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0AB"/>
    <w:multiLevelType w:val="hybridMultilevel"/>
    <w:tmpl w:val="0476657A"/>
    <w:lvl w:ilvl="0" w:tplc="395C0ADE">
      <w:start w:val="1"/>
      <w:numFmt w:val="decimal"/>
      <w:lvlText w:val="%1."/>
      <w:lvlJc w:val="left"/>
      <w:pPr>
        <w:ind w:left="770" w:hanging="360"/>
      </w:pPr>
      <w:rPr>
        <w:i w:val="0"/>
        <w:iCs w:val="0"/>
      </w:rPr>
    </w:lvl>
    <w:lvl w:ilvl="1" w:tplc="3798365C" w:tentative="1">
      <w:start w:val="1"/>
      <w:numFmt w:val="lowerLetter"/>
      <w:lvlText w:val="%2."/>
      <w:lvlJc w:val="left"/>
      <w:pPr>
        <w:ind w:left="1490" w:hanging="360"/>
      </w:pPr>
    </w:lvl>
    <w:lvl w:ilvl="2" w:tplc="DC9A9AEC" w:tentative="1">
      <w:start w:val="1"/>
      <w:numFmt w:val="lowerRoman"/>
      <w:lvlText w:val="%3."/>
      <w:lvlJc w:val="right"/>
      <w:pPr>
        <w:ind w:left="2210" w:hanging="180"/>
      </w:pPr>
    </w:lvl>
    <w:lvl w:ilvl="3" w:tplc="FB62A7C8" w:tentative="1">
      <w:start w:val="1"/>
      <w:numFmt w:val="decimal"/>
      <w:lvlText w:val="%4."/>
      <w:lvlJc w:val="left"/>
      <w:pPr>
        <w:ind w:left="2930" w:hanging="360"/>
      </w:pPr>
    </w:lvl>
    <w:lvl w:ilvl="4" w:tplc="4B322132" w:tentative="1">
      <w:start w:val="1"/>
      <w:numFmt w:val="lowerLetter"/>
      <w:lvlText w:val="%5."/>
      <w:lvlJc w:val="left"/>
      <w:pPr>
        <w:ind w:left="3650" w:hanging="360"/>
      </w:pPr>
    </w:lvl>
    <w:lvl w:ilvl="5" w:tplc="07C679B6" w:tentative="1">
      <w:start w:val="1"/>
      <w:numFmt w:val="lowerRoman"/>
      <w:lvlText w:val="%6."/>
      <w:lvlJc w:val="right"/>
      <w:pPr>
        <w:ind w:left="4370" w:hanging="180"/>
      </w:pPr>
    </w:lvl>
    <w:lvl w:ilvl="6" w:tplc="C802B0B2" w:tentative="1">
      <w:start w:val="1"/>
      <w:numFmt w:val="decimal"/>
      <w:lvlText w:val="%7."/>
      <w:lvlJc w:val="left"/>
      <w:pPr>
        <w:ind w:left="5090" w:hanging="360"/>
      </w:pPr>
    </w:lvl>
    <w:lvl w:ilvl="7" w:tplc="20F850A8" w:tentative="1">
      <w:start w:val="1"/>
      <w:numFmt w:val="lowerLetter"/>
      <w:lvlText w:val="%8."/>
      <w:lvlJc w:val="left"/>
      <w:pPr>
        <w:ind w:left="5810" w:hanging="360"/>
      </w:pPr>
    </w:lvl>
    <w:lvl w:ilvl="8" w:tplc="B38C85AC" w:tentative="1">
      <w:start w:val="1"/>
      <w:numFmt w:val="lowerRoman"/>
      <w:lvlText w:val="%9."/>
      <w:lvlJc w:val="right"/>
      <w:pPr>
        <w:ind w:left="6530" w:hanging="180"/>
      </w:pPr>
    </w:lvl>
  </w:abstractNum>
  <w:num w:numId="1">
    <w:abstractNumId w:val="0"/>
  </w:num>
  <w:num w:numId="2">
    <w:abstractNumId w:val="4"/>
  </w:num>
  <w:num w:numId="3">
    <w:abstractNumId w:val="6"/>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E"/>
    <w:rsid w:val="00000C05"/>
    <w:rsid w:val="000023C3"/>
    <w:rsid w:val="000106F3"/>
    <w:rsid w:val="00013984"/>
    <w:rsid w:val="000149AC"/>
    <w:rsid w:val="000230D0"/>
    <w:rsid w:val="00023157"/>
    <w:rsid w:val="00030148"/>
    <w:rsid w:val="000301FD"/>
    <w:rsid w:val="000326D1"/>
    <w:rsid w:val="00034057"/>
    <w:rsid w:val="000356A6"/>
    <w:rsid w:val="000372B6"/>
    <w:rsid w:val="00037429"/>
    <w:rsid w:val="00043CC2"/>
    <w:rsid w:val="00044C8A"/>
    <w:rsid w:val="000455D6"/>
    <w:rsid w:val="00045ED0"/>
    <w:rsid w:val="00047F1D"/>
    <w:rsid w:val="00050579"/>
    <w:rsid w:val="00052218"/>
    <w:rsid w:val="00055AB8"/>
    <w:rsid w:val="00062878"/>
    <w:rsid w:val="00066643"/>
    <w:rsid w:val="00070290"/>
    <w:rsid w:val="00071F01"/>
    <w:rsid w:val="00072A84"/>
    <w:rsid w:val="00083AB3"/>
    <w:rsid w:val="00086C70"/>
    <w:rsid w:val="00091F63"/>
    <w:rsid w:val="00097FFC"/>
    <w:rsid w:val="000A1782"/>
    <w:rsid w:val="000A6A79"/>
    <w:rsid w:val="000B057C"/>
    <w:rsid w:val="000B2F12"/>
    <w:rsid w:val="000B4C12"/>
    <w:rsid w:val="000B503E"/>
    <w:rsid w:val="000C3D21"/>
    <w:rsid w:val="000D45D4"/>
    <w:rsid w:val="000D5292"/>
    <w:rsid w:val="000E2599"/>
    <w:rsid w:val="000E3AC6"/>
    <w:rsid w:val="000E46E0"/>
    <w:rsid w:val="000E7357"/>
    <w:rsid w:val="000E7A31"/>
    <w:rsid w:val="000F2659"/>
    <w:rsid w:val="000F3047"/>
    <w:rsid w:val="000F546C"/>
    <w:rsid w:val="001016E9"/>
    <w:rsid w:val="00102E12"/>
    <w:rsid w:val="001033B2"/>
    <w:rsid w:val="001037E7"/>
    <w:rsid w:val="0011558A"/>
    <w:rsid w:val="0011575D"/>
    <w:rsid w:val="00125459"/>
    <w:rsid w:val="0012667E"/>
    <w:rsid w:val="00131157"/>
    <w:rsid w:val="00131A8B"/>
    <w:rsid w:val="00132540"/>
    <w:rsid w:val="00137393"/>
    <w:rsid w:val="00137536"/>
    <w:rsid w:val="001440B3"/>
    <w:rsid w:val="001456CB"/>
    <w:rsid w:val="00145A89"/>
    <w:rsid w:val="001462D5"/>
    <w:rsid w:val="00146D89"/>
    <w:rsid w:val="001504AC"/>
    <w:rsid w:val="00152199"/>
    <w:rsid w:val="00170593"/>
    <w:rsid w:val="0017093B"/>
    <w:rsid w:val="00175DF6"/>
    <w:rsid w:val="00176CF0"/>
    <w:rsid w:val="0019495D"/>
    <w:rsid w:val="0019554B"/>
    <w:rsid w:val="00195E41"/>
    <w:rsid w:val="001A26F8"/>
    <w:rsid w:val="001A3D5F"/>
    <w:rsid w:val="001A5C69"/>
    <w:rsid w:val="001A5FD8"/>
    <w:rsid w:val="001B1099"/>
    <w:rsid w:val="001B25A5"/>
    <w:rsid w:val="001D09CB"/>
    <w:rsid w:val="001D0BA0"/>
    <w:rsid w:val="001D1646"/>
    <w:rsid w:val="001D391B"/>
    <w:rsid w:val="001E1CCE"/>
    <w:rsid w:val="001E3419"/>
    <w:rsid w:val="001E3D8C"/>
    <w:rsid w:val="001E56EA"/>
    <w:rsid w:val="001E5AA6"/>
    <w:rsid w:val="001F0602"/>
    <w:rsid w:val="001F2E31"/>
    <w:rsid w:val="001F58DA"/>
    <w:rsid w:val="001F5E1E"/>
    <w:rsid w:val="001F6540"/>
    <w:rsid w:val="00200658"/>
    <w:rsid w:val="00204341"/>
    <w:rsid w:val="00207EF1"/>
    <w:rsid w:val="00210FE4"/>
    <w:rsid w:val="002116CE"/>
    <w:rsid w:val="002122E6"/>
    <w:rsid w:val="0021290C"/>
    <w:rsid w:val="00215FBE"/>
    <w:rsid w:val="002268F9"/>
    <w:rsid w:val="00230F83"/>
    <w:rsid w:val="00236FD4"/>
    <w:rsid w:val="00240099"/>
    <w:rsid w:val="002455E9"/>
    <w:rsid w:val="00253153"/>
    <w:rsid w:val="00253F5B"/>
    <w:rsid w:val="00256CA3"/>
    <w:rsid w:val="00264C8E"/>
    <w:rsid w:val="00266A22"/>
    <w:rsid w:val="00271C3A"/>
    <w:rsid w:val="00271ECC"/>
    <w:rsid w:val="002741B7"/>
    <w:rsid w:val="00274A61"/>
    <w:rsid w:val="00290594"/>
    <w:rsid w:val="00291501"/>
    <w:rsid w:val="00292AF0"/>
    <w:rsid w:val="002B2243"/>
    <w:rsid w:val="002B41B1"/>
    <w:rsid w:val="002B61CF"/>
    <w:rsid w:val="002B7001"/>
    <w:rsid w:val="002C007B"/>
    <w:rsid w:val="002C0E98"/>
    <w:rsid w:val="002C1985"/>
    <w:rsid w:val="002C1FC8"/>
    <w:rsid w:val="002C3BD7"/>
    <w:rsid w:val="002C4A51"/>
    <w:rsid w:val="002C7029"/>
    <w:rsid w:val="002E194D"/>
    <w:rsid w:val="002E27FB"/>
    <w:rsid w:val="002E2824"/>
    <w:rsid w:val="002E5065"/>
    <w:rsid w:val="002F2315"/>
    <w:rsid w:val="003009DD"/>
    <w:rsid w:val="00300DA0"/>
    <w:rsid w:val="0030123C"/>
    <w:rsid w:val="00302533"/>
    <w:rsid w:val="003030EA"/>
    <w:rsid w:val="0030463E"/>
    <w:rsid w:val="00310B9A"/>
    <w:rsid w:val="003110E0"/>
    <w:rsid w:val="003138AF"/>
    <w:rsid w:val="0031397B"/>
    <w:rsid w:val="00315CFE"/>
    <w:rsid w:val="00316888"/>
    <w:rsid w:val="00321B5D"/>
    <w:rsid w:val="0032289C"/>
    <w:rsid w:val="0032748E"/>
    <w:rsid w:val="0033613A"/>
    <w:rsid w:val="00337764"/>
    <w:rsid w:val="003404FD"/>
    <w:rsid w:val="003416C0"/>
    <w:rsid w:val="003448A9"/>
    <w:rsid w:val="00345FA8"/>
    <w:rsid w:val="003505DA"/>
    <w:rsid w:val="00352042"/>
    <w:rsid w:val="00355B9F"/>
    <w:rsid w:val="00355D3F"/>
    <w:rsid w:val="00363FAE"/>
    <w:rsid w:val="00373767"/>
    <w:rsid w:val="00377A3B"/>
    <w:rsid w:val="0038040E"/>
    <w:rsid w:val="00380616"/>
    <w:rsid w:val="0038176E"/>
    <w:rsid w:val="00382534"/>
    <w:rsid w:val="003871D4"/>
    <w:rsid w:val="00387DF6"/>
    <w:rsid w:val="00390051"/>
    <w:rsid w:val="003912BF"/>
    <w:rsid w:val="00392EE0"/>
    <w:rsid w:val="003A23C0"/>
    <w:rsid w:val="003A6D8F"/>
    <w:rsid w:val="003B0D5C"/>
    <w:rsid w:val="003B5B5A"/>
    <w:rsid w:val="003C2849"/>
    <w:rsid w:val="003C3703"/>
    <w:rsid w:val="003C569E"/>
    <w:rsid w:val="003C65A4"/>
    <w:rsid w:val="003C7AD9"/>
    <w:rsid w:val="003D3AED"/>
    <w:rsid w:val="003D3B9E"/>
    <w:rsid w:val="003D5137"/>
    <w:rsid w:val="003D5DAE"/>
    <w:rsid w:val="003E3F95"/>
    <w:rsid w:val="003E40E6"/>
    <w:rsid w:val="003E52E8"/>
    <w:rsid w:val="003F0C30"/>
    <w:rsid w:val="00400C6E"/>
    <w:rsid w:val="00404BF2"/>
    <w:rsid w:val="00413929"/>
    <w:rsid w:val="00414CBC"/>
    <w:rsid w:val="004202C2"/>
    <w:rsid w:val="004207DC"/>
    <w:rsid w:val="00422422"/>
    <w:rsid w:val="00424C8B"/>
    <w:rsid w:val="00430959"/>
    <w:rsid w:val="0043334B"/>
    <w:rsid w:val="00436316"/>
    <w:rsid w:val="004445BC"/>
    <w:rsid w:val="00444B1C"/>
    <w:rsid w:val="0045030C"/>
    <w:rsid w:val="004544AC"/>
    <w:rsid w:val="004740BA"/>
    <w:rsid w:val="00485991"/>
    <w:rsid w:val="00485BB3"/>
    <w:rsid w:val="00487FDA"/>
    <w:rsid w:val="00496677"/>
    <w:rsid w:val="004A0CB3"/>
    <w:rsid w:val="004B1463"/>
    <w:rsid w:val="004B177D"/>
    <w:rsid w:val="004B2A6A"/>
    <w:rsid w:val="004B4B56"/>
    <w:rsid w:val="004C35DD"/>
    <w:rsid w:val="004C3718"/>
    <w:rsid w:val="004D064B"/>
    <w:rsid w:val="004D087F"/>
    <w:rsid w:val="004D08B4"/>
    <w:rsid w:val="004E28CE"/>
    <w:rsid w:val="004E4D56"/>
    <w:rsid w:val="004E699D"/>
    <w:rsid w:val="004E6DC5"/>
    <w:rsid w:val="004F17DD"/>
    <w:rsid w:val="004F1968"/>
    <w:rsid w:val="004F2B55"/>
    <w:rsid w:val="00500810"/>
    <w:rsid w:val="005030BA"/>
    <w:rsid w:val="005032E0"/>
    <w:rsid w:val="00507F7D"/>
    <w:rsid w:val="00511567"/>
    <w:rsid w:val="00511DB6"/>
    <w:rsid w:val="00513945"/>
    <w:rsid w:val="005175FC"/>
    <w:rsid w:val="00520421"/>
    <w:rsid w:val="00522345"/>
    <w:rsid w:val="00523849"/>
    <w:rsid w:val="00525A19"/>
    <w:rsid w:val="005271D6"/>
    <w:rsid w:val="00531BAC"/>
    <w:rsid w:val="005358C9"/>
    <w:rsid w:val="00537891"/>
    <w:rsid w:val="00540761"/>
    <w:rsid w:val="00543997"/>
    <w:rsid w:val="005442CA"/>
    <w:rsid w:val="00545E4F"/>
    <w:rsid w:val="00547C74"/>
    <w:rsid w:val="0055271F"/>
    <w:rsid w:val="00556174"/>
    <w:rsid w:val="00561EC8"/>
    <w:rsid w:val="00564C7B"/>
    <w:rsid w:val="005716BE"/>
    <w:rsid w:val="0057742F"/>
    <w:rsid w:val="00577729"/>
    <w:rsid w:val="00577BA2"/>
    <w:rsid w:val="005817AF"/>
    <w:rsid w:val="00584125"/>
    <w:rsid w:val="005977AF"/>
    <w:rsid w:val="0059785F"/>
    <w:rsid w:val="005A5FB7"/>
    <w:rsid w:val="005A74E4"/>
    <w:rsid w:val="005B132F"/>
    <w:rsid w:val="005B22B3"/>
    <w:rsid w:val="005B3A55"/>
    <w:rsid w:val="005B3C37"/>
    <w:rsid w:val="005B4A35"/>
    <w:rsid w:val="005B5A07"/>
    <w:rsid w:val="005C192D"/>
    <w:rsid w:val="005C2763"/>
    <w:rsid w:val="005C3AA3"/>
    <w:rsid w:val="005C7A5F"/>
    <w:rsid w:val="005D199D"/>
    <w:rsid w:val="005D2424"/>
    <w:rsid w:val="005D772F"/>
    <w:rsid w:val="005E766B"/>
    <w:rsid w:val="005E7BA8"/>
    <w:rsid w:val="005F3CB6"/>
    <w:rsid w:val="006006A3"/>
    <w:rsid w:val="00601FD8"/>
    <w:rsid w:val="00603AC1"/>
    <w:rsid w:val="006104F1"/>
    <w:rsid w:val="00611C59"/>
    <w:rsid w:val="00614B50"/>
    <w:rsid w:val="006205DD"/>
    <w:rsid w:val="00622126"/>
    <w:rsid w:val="006222ED"/>
    <w:rsid w:val="00626FF4"/>
    <w:rsid w:val="00627F14"/>
    <w:rsid w:val="00631ABC"/>
    <w:rsid w:val="00632451"/>
    <w:rsid w:val="00632E60"/>
    <w:rsid w:val="00641CFB"/>
    <w:rsid w:val="00642CF4"/>
    <w:rsid w:val="00645294"/>
    <w:rsid w:val="006472D0"/>
    <w:rsid w:val="006476E5"/>
    <w:rsid w:val="00654845"/>
    <w:rsid w:val="006548C2"/>
    <w:rsid w:val="00657E83"/>
    <w:rsid w:val="0066477C"/>
    <w:rsid w:val="00667791"/>
    <w:rsid w:val="00667BDB"/>
    <w:rsid w:val="00671D49"/>
    <w:rsid w:val="006756D5"/>
    <w:rsid w:val="00681C13"/>
    <w:rsid w:val="00686D00"/>
    <w:rsid w:val="00693A5E"/>
    <w:rsid w:val="00693A7E"/>
    <w:rsid w:val="00694F53"/>
    <w:rsid w:val="006A0936"/>
    <w:rsid w:val="006A200A"/>
    <w:rsid w:val="006A22B4"/>
    <w:rsid w:val="006B0644"/>
    <w:rsid w:val="006B3CFE"/>
    <w:rsid w:val="006C191A"/>
    <w:rsid w:val="006C257B"/>
    <w:rsid w:val="006C7916"/>
    <w:rsid w:val="006D19F1"/>
    <w:rsid w:val="006D1BDA"/>
    <w:rsid w:val="006D262E"/>
    <w:rsid w:val="006D3388"/>
    <w:rsid w:val="006D4CAD"/>
    <w:rsid w:val="006E22EA"/>
    <w:rsid w:val="006E4633"/>
    <w:rsid w:val="006E56BF"/>
    <w:rsid w:val="006F2268"/>
    <w:rsid w:val="006F7887"/>
    <w:rsid w:val="00700912"/>
    <w:rsid w:val="00703AE4"/>
    <w:rsid w:val="00705867"/>
    <w:rsid w:val="0070628D"/>
    <w:rsid w:val="007134B1"/>
    <w:rsid w:val="00717A57"/>
    <w:rsid w:val="00717A66"/>
    <w:rsid w:val="00725F67"/>
    <w:rsid w:val="00731C79"/>
    <w:rsid w:val="0073348F"/>
    <w:rsid w:val="00733594"/>
    <w:rsid w:val="0073516A"/>
    <w:rsid w:val="00735D27"/>
    <w:rsid w:val="007434EE"/>
    <w:rsid w:val="0074423B"/>
    <w:rsid w:val="007476AC"/>
    <w:rsid w:val="00747AF8"/>
    <w:rsid w:val="00750AC7"/>
    <w:rsid w:val="007530B0"/>
    <w:rsid w:val="00756AC9"/>
    <w:rsid w:val="00761E55"/>
    <w:rsid w:val="00762AF5"/>
    <w:rsid w:val="00771C93"/>
    <w:rsid w:val="00774978"/>
    <w:rsid w:val="007831A0"/>
    <w:rsid w:val="007837E8"/>
    <w:rsid w:val="00795020"/>
    <w:rsid w:val="007A2285"/>
    <w:rsid w:val="007A2F6D"/>
    <w:rsid w:val="007A3098"/>
    <w:rsid w:val="007A697C"/>
    <w:rsid w:val="007A710C"/>
    <w:rsid w:val="007B2093"/>
    <w:rsid w:val="007C0735"/>
    <w:rsid w:val="007C2AE8"/>
    <w:rsid w:val="007C37E0"/>
    <w:rsid w:val="007D7D9C"/>
    <w:rsid w:val="007E1762"/>
    <w:rsid w:val="007E3DD5"/>
    <w:rsid w:val="007F2777"/>
    <w:rsid w:val="007F3293"/>
    <w:rsid w:val="007F782D"/>
    <w:rsid w:val="007F7992"/>
    <w:rsid w:val="00801838"/>
    <w:rsid w:val="008114EB"/>
    <w:rsid w:val="008134FE"/>
    <w:rsid w:val="008135E9"/>
    <w:rsid w:val="00816874"/>
    <w:rsid w:val="00827720"/>
    <w:rsid w:val="00830E2E"/>
    <w:rsid w:val="0083302F"/>
    <w:rsid w:val="00833FEA"/>
    <w:rsid w:val="008422F4"/>
    <w:rsid w:val="008431C2"/>
    <w:rsid w:val="00843DEE"/>
    <w:rsid w:val="008443DA"/>
    <w:rsid w:val="00846622"/>
    <w:rsid w:val="00847A12"/>
    <w:rsid w:val="00847DD9"/>
    <w:rsid w:val="00852889"/>
    <w:rsid w:val="00855FA5"/>
    <w:rsid w:val="00856498"/>
    <w:rsid w:val="00862396"/>
    <w:rsid w:val="008628D7"/>
    <w:rsid w:val="00863EDF"/>
    <w:rsid w:val="0088443C"/>
    <w:rsid w:val="00887404"/>
    <w:rsid w:val="00894E37"/>
    <w:rsid w:val="0089618F"/>
    <w:rsid w:val="00896854"/>
    <w:rsid w:val="0089702C"/>
    <w:rsid w:val="008979F8"/>
    <w:rsid w:val="008A1E45"/>
    <w:rsid w:val="008A2ABF"/>
    <w:rsid w:val="008A3278"/>
    <w:rsid w:val="008A34F0"/>
    <w:rsid w:val="008A426A"/>
    <w:rsid w:val="008A4E6D"/>
    <w:rsid w:val="008A537A"/>
    <w:rsid w:val="008A66C5"/>
    <w:rsid w:val="008B00CE"/>
    <w:rsid w:val="008B2F02"/>
    <w:rsid w:val="008C1EE0"/>
    <w:rsid w:val="008C64F4"/>
    <w:rsid w:val="008C66DB"/>
    <w:rsid w:val="008D2D29"/>
    <w:rsid w:val="008D5F72"/>
    <w:rsid w:val="008D6310"/>
    <w:rsid w:val="008E0058"/>
    <w:rsid w:val="008E01E5"/>
    <w:rsid w:val="008E15F6"/>
    <w:rsid w:val="008E7A19"/>
    <w:rsid w:val="008F05BE"/>
    <w:rsid w:val="008F3C7C"/>
    <w:rsid w:val="008F57CD"/>
    <w:rsid w:val="009053B5"/>
    <w:rsid w:val="009058DE"/>
    <w:rsid w:val="009075C9"/>
    <w:rsid w:val="0090797F"/>
    <w:rsid w:val="00913258"/>
    <w:rsid w:val="00915FA1"/>
    <w:rsid w:val="0092035D"/>
    <w:rsid w:val="0092241E"/>
    <w:rsid w:val="009242B0"/>
    <w:rsid w:val="0092444C"/>
    <w:rsid w:val="00925FF2"/>
    <w:rsid w:val="009316C1"/>
    <w:rsid w:val="00934106"/>
    <w:rsid w:val="00934575"/>
    <w:rsid w:val="00936C2D"/>
    <w:rsid w:val="0093792D"/>
    <w:rsid w:val="00941C3C"/>
    <w:rsid w:val="00943E46"/>
    <w:rsid w:val="00943EE3"/>
    <w:rsid w:val="00945861"/>
    <w:rsid w:val="0095007F"/>
    <w:rsid w:val="00953E57"/>
    <w:rsid w:val="0095406F"/>
    <w:rsid w:val="009558B4"/>
    <w:rsid w:val="009575FB"/>
    <w:rsid w:val="009606E2"/>
    <w:rsid w:val="00961CA5"/>
    <w:rsid w:val="0096560A"/>
    <w:rsid w:val="0096584A"/>
    <w:rsid w:val="009708A9"/>
    <w:rsid w:val="00970E20"/>
    <w:rsid w:val="00971568"/>
    <w:rsid w:val="00973E13"/>
    <w:rsid w:val="00974B60"/>
    <w:rsid w:val="009756D7"/>
    <w:rsid w:val="00977483"/>
    <w:rsid w:val="00981567"/>
    <w:rsid w:val="00983DB8"/>
    <w:rsid w:val="00984FB3"/>
    <w:rsid w:val="0099211D"/>
    <w:rsid w:val="009A0F58"/>
    <w:rsid w:val="009A2B3C"/>
    <w:rsid w:val="009A5A99"/>
    <w:rsid w:val="009B3D45"/>
    <w:rsid w:val="009B521F"/>
    <w:rsid w:val="009B7557"/>
    <w:rsid w:val="009C0DE6"/>
    <w:rsid w:val="009C111A"/>
    <w:rsid w:val="009C25F1"/>
    <w:rsid w:val="009C3689"/>
    <w:rsid w:val="009D3566"/>
    <w:rsid w:val="009E3E34"/>
    <w:rsid w:val="009F1E59"/>
    <w:rsid w:val="009F5467"/>
    <w:rsid w:val="009F6704"/>
    <w:rsid w:val="00A039C8"/>
    <w:rsid w:val="00A03E73"/>
    <w:rsid w:val="00A11642"/>
    <w:rsid w:val="00A121D8"/>
    <w:rsid w:val="00A13AE5"/>
    <w:rsid w:val="00A13D0C"/>
    <w:rsid w:val="00A15E1F"/>
    <w:rsid w:val="00A2154D"/>
    <w:rsid w:val="00A273B6"/>
    <w:rsid w:val="00A27BC9"/>
    <w:rsid w:val="00A310EE"/>
    <w:rsid w:val="00A330AE"/>
    <w:rsid w:val="00A40C41"/>
    <w:rsid w:val="00A416DE"/>
    <w:rsid w:val="00A41D61"/>
    <w:rsid w:val="00A42A76"/>
    <w:rsid w:val="00A440FF"/>
    <w:rsid w:val="00A45290"/>
    <w:rsid w:val="00A501ED"/>
    <w:rsid w:val="00A50D65"/>
    <w:rsid w:val="00A56FD6"/>
    <w:rsid w:val="00A57EE4"/>
    <w:rsid w:val="00A6485D"/>
    <w:rsid w:val="00A672E3"/>
    <w:rsid w:val="00A74A15"/>
    <w:rsid w:val="00A75069"/>
    <w:rsid w:val="00A77EC6"/>
    <w:rsid w:val="00A93BD2"/>
    <w:rsid w:val="00A9457F"/>
    <w:rsid w:val="00A96262"/>
    <w:rsid w:val="00A96D01"/>
    <w:rsid w:val="00AA6471"/>
    <w:rsid w:val="00AB0C2D"/>
    <w:rsid w:val="00AB15F0"/>
    <w:rsid w:val="00AB1A80"/>
    <w:rsid w:val="00AB3514"/>
    <w:rsid w:val="00AB6366"/>
    <w:rsid w:val="00AB68F9"/>
    <w:rsid w:val="00AB7F36"/>
    <w:rsid w:val="00AC40B3"/>
    <w:rsid w:val="00AC4443"/>
    <w:rsid w:val="00AC4F89"/>
    <w:rsid w:val="00AC5298"/>
    <w:rsid w:val="00AC7672"/>
    <w:rsid w:val="00AD27D3"/>
    <w:rsid w:val="00AD2E87"/>
    <w:rsid w:val="00AD3A39"/>
    <w:rsid w:val="00AD5F5A"/>
    <w:rsid w:val="00AE04C6"/>
    <w:rsid w:val="00AE08B9"/>
    <w:rsid w:val="00AE34B1"/>
    <w:rsid w:val="00AE5180"/>
    <w:rsid w:val="00AF39C7"/>
    <w:rsid w:val="00AF53CE"/>
    <w:rsid w:val="00B00EE9"/>
    <w:rsid w:val="00B01709"/>
    <w:rsid w:val="00B03273"/>
    <w:rsid w:val="00B03CB2"/>
    <w:rsid w:val="00B05449"/>
    <w:rsid w:val="00B05B99"/>
    <w:rsid w:val="00B10A78"/>
    <w:rsid w:val="00B154F2"/>
    <w:rsid w:val="00B16947"/>
    <w:rsid w:val="00B24D0C"/>
    <w:rsid w:val="00B26FAE"/>
    <w:rsid w:val="00B27EED"/>
    <w:rsid w:val="00B348E0"/>
    <w:rsid w:val="00B37350"/>
    <w:rsid w:val="00B377B0"/>
    <w:rsid w:val="00B42886"/>
    <w:rsid w:val="00B43AEF"/>
    <w:rsid w:val="00B45E37"/>
    <w:rsid w:val="00B479BF"/>
    <w:rsid w:val="00B47CFA"/>
    <w:rsid w:val="00B51CEE"/>
    <w:rsid w:val="00B57467"/>
    <w:rsid w:val="00B64320"/>
    <w:rsid w:val="00B719B1"/>
    <w:rsid w:val="00B7382D"/>
    <w:rsid w:val="00B8293F"/>
    <w:rsid w:val="00B82C71"/>
    <w:rsid w:val="00B830C6"/>
    <w:rsid w:val="00B86779"/>
    <w:rsid w:val="00B911FC"/>
    <w:rsid w:val="00B92789"/>
    <w:rsid w:val="00B94BB2"/>
    <w:rsid w:val="00B95546"/>
    <w:rsid w:val="00BA2A72"/>
    <w:rsid w:val="00BA316E"/>
    <w:rsid w:val="00BA5173"/>
    <w:rsid w:val="00BA63FE"/>
    <w:rsid w:val="00BA75BB"/>
    <w:rsid w:val="00BB0D42"/>
    <w:rsid w:val="00BB2980"/>
    <w:rsid w:val="00BB6054"/>
    <w:rsid w:val="00BC1796"/>
    <w:rsid w:val="00BC1DD0"/>
    <w:rsid w:val="00BC5159"/>
    <w:rsid w:val="00BD1855"/>
    <w:rsid w:val="00BD1AC1"/>
    <w:rsid w:val="00BD2475"/>
    <w:rsid w:val="00BD3756"/>
    <w:rsid w:val="00BD4AD8"/>
    <w:rsid w:val="00BD4F93"/>
    <w:rsid w:val="00BD540A"/>
    <w:rsid w:val="00BD5510"/>
    <w:rsid w:val="00BD5E07"/>
    <w:rsid w:val="00BD7223"/>
    <w:rsid w:val="00BD79CB"/>
    <w:rsid w:val="00BE0412"/>
    <w:rsid w:val="00BE09AF"/>
    <w:rsid w:val="00BE3047"/>
    <w:rsid w:val="00BE361A"/>
    <w:rsid w:val="00BF4485"/>
    <w:rsid w:val="00BF53E8"/>
    <w:rsid w:val="00C00CAC"/>
    <w:rsid w:val="00C12926"/>
    <w:rsid w:val="00C14995"/>
    <w:rsid w:val="00C17407"/>
    <w:rsid w:val="00C266D0"/>
    <w:rsid w:val="00C31579"/>
    <w:rsid w:val="00C32CD2"/>
    <w:rsid w:val="00C33DD5"/>
    <w:rsid w:val="00C34105"/>
    <w:rsid w:val="00C364F8"/>
    <w:rsid w:val="00C374C5"/>
    <w:rsid w:val="00C41E8D"/>
    <w:rsid w:val="00C42037"/>
    <w:rsid w:val="00C42344"/>
    <w:rsid w:val="00C43185"/>
    <w:rsid w:val="00C45163"/>
    <w:rsid w:val="00C5075C"/>
    <w:rsid w:val="00C57B7D"/>
    <w:rsid w:val="00C57D01"/>
    <w:rsid w:val="00C60548"/>
    <w:rsid w:val="00C60A87"/>
    <w:rsid w:val="00C71589"/>
    <w:rsid w:val="00C720E8"/>
    <w:rsid w:val="00C75673"/>
    <w:rsid w:val="00C76A20"/>
    <w:rsid w:val="00C80181"/>
    <w:rsid w:val="00C81BBF"/>
    <w:rsid w:val="00C82B6D"/>
    <w:rsid w:val="00C83F73"/>
    <w:rsid w:val="00C843FD"/>
    <w:rsid w:val="00C852C4"/>
    <w:rsid w:val="00C87242"/>
    <w:rsid w:val="00C90B22"/>
    <w:rsid w:val="00C97D47"/>
    <w:rsid w:val="00CA029A"/>
    <w:rsid w:val="00CA2E7B"/>
    <w:rsid w:val="00CA5277"/>
    <w:rsid w:val="00CA6461"/>
    <w:rsid w:val="00CA76E9"/>
    <w:rsid w:val="00CB0A33"/>
    <w:rsid w:val="00CB13ED"/>
    <w:rsid w:val="00CB3541"/>
    <w:rsid w:val="00CB53B9"/>
    <w:rsid w:val="00CC4E50"/>
    <w:rsid w:val="00CD13AB"/>
    <w:rsid w:val="00CD1B21"/>
    <w:rsid w:val="00CE0D57"/>
    <w:rsid w:val="00CE5104"/>
    <w:rsid w:val="00CE7C5F"/>
    <w:rsid w:val="00CF13A7"/>
    <w:rsid w:val="00CF3DBD"/>
    <w:rsid w:val="00CF78B0"/>
    <w:rsid w:val="00D032F1"/>
    <w:rsid w:val="00D03388"/>
    <w:rsid w:val="00D05834"/>
    <w:rsid w:val="00D103A2"/>
    <w:rsid w:val="00D10EDA"/>
    <w:rsid w:val="00D1481B"/>
    <w:rsid w:val="00D148E2"/>
    <w:rsid w:val="00D159DD"/>
    <w:rsid w:val="00D16D48"/>
    <w:rsid w:val="00D22A65"/>
    <w:rsid w:val="00D254DC"/>
    <w:rsid w:val="00D34633"/>
    <w:rsid w:val="00D41786"/>
    <w:rsid w:val="00D44532"/>
    <w:rsid w:val="00D44ED2"/>
    <w:rsid w:val="00D463F1"/>
    <w:rsid w:val="00D4727E"/>
    <w:rsid w:val="00D473C1"/>
    <w:rsid w:val="00D50365"/>
    <w:rsid w:val="00D533E1"/>
    <w:rsid w:val="00D659C7"/>
    <w:rsid w:val="00D6702B"/>
    <w:rsid w:val="00D7542F"/>
    <w:rsid w:val="00D82CF9"/>
    <w:rsid w:val="00D86D69"/>
    <w:rsid w:val="00D91A35"/>
    <w:rsid w:val="00D91ABA"/>
    <w:rsid w:val="00D96BCF"/>
    <w:rsid w:val="00DB585B"/>
    <w:rsid w:val="00DB7638"/>
    <w:rsid w:val="00DC1907"/>
    <w:rsid w:val="00DC4DD3"/>
    <w:rsid w:val="00DC5B63"/>
    <w:rsid w:val="00DC69CF"/>
    <w:rsid w:val="00DD4799"/>
    <w:rsid w:val="00DD543A"/>
    <w:rsid w:val="00DD7D05"/>
    <w:rsid w:val="00DE2181"/>
    <w:rsid w:val="00DE2854"/>
    <w:rsid w:val="00DE2FE4"/>
    <w:rsid w:val="00DF466B"/>
    <w:rsid w:val="00DF58CA"/>
    <w:rsid w:val="00DF6C5C"/>
    <w:rsid w:val="00E00C6F"/>
    <w:rsid w:val="00E00CFD"/>
    <w:rsid w:val="00E05CDA"/>
    <w:rsid w:val="00E11318"/>
    <w:rsid w:val="00E138B2"/>
    <w:rsid w:val="00E160C7"/>
    <w:rsid w:val="00E21AAC"/>
    <w:rsid w:val="00E32FE8"/>
    <w:rsid w:val="00E35751"/>
    <w:rsid w:val="00E36481"/>
    <w:rsid w:val="00E368E6"/>
    <w:rsid w:val="00E4629E"/>
    <w:rsid w:val="00E508A5"/>
    <w:rsid w:val="00E54755"/>
    <w:rsid w:val="00E5575B"/>
    <w:rsid w:val="00E62FFD"/>
    <w:rsid w:val="00E63C1D"/>
    <w:rsid w:val="00E63EB8"/>
    <w:rsid w:val="00E653AE"/>
    <w:rsid w:val="00E661B3"/>
    <w:rsid w:val="00E67E9B"/>
    <w:rsid w:val="00E70D77"/>
    <w:rsid w:val="00E7237C"/>
    <w:rsid w:val="00E80A1C"/>
    <w:rsid w:val="00E8417D"/>
    <w:rsid w:val="00E85E9A"/>
    <w:rsid w:val="00E86938"/>
    <w:rsid w:val="00E92D32"/>
    <w:rsid w:val="00E9504E"/>
    <w:rsid w:val="00EA57AB"/>
    <w:rsid w:val="00EA6AEE"/>
    <w:rsid w:val="00EB000A"/>
    <w:rsid w:val="00EB0770"/>
    <w:rsid w:val="00EB1828"/>
    <w:rsid w:val="00EB3FF3"/>
    <w:rsid w:val="00EB7B5F"/>
    <w:rsid w:val="00EC149E"/>
    <w:rsid w:val="00EC3113"/>
    <w:rsid w:val="00EC7FD5"/>
    <w:rsid w:val="00ED309E"/>
    <w:rsid w:val="00ED3456"/>
    <w:rsid w:val="00ED588E"/>
    <w:rsid w:val="00EE4168"/>
    <w:rsid w:val="00EE4A5D"/>
    <w:rsid w:val="00EE6A16"/>
    <w:rsid w:val="00EE6FFB"/>
    <w:rsid w:val="00EF1261"/>
    <w:rsid w:val="00EF301E"/>
    <w:rsid w:val="00EF4736"/>
    <w:rsid w:val="00EF48CB"/>
    <w:rsid w:val="00F015FB"/>
    <w:rsid w:val="00F060EE"/>
    <w:rsid w:val="00F06771"/>
    <w:rsid w:val="00F06F2C"/>
    <w:rsid w:val="00F116F2"/>
    <w:rsid w:val="00F130CD"/>
    <w:rsid w:val="00F14CE3"/>
    <w:rsid w:val="00F15A34"/>
    <w:rsid w:val="00F172BD"/>
    <w:rsid w:val="00F201A3"/>
    <w:rsid w:val="00F21A6E"/>
    <w:rsid w:val="00F32CFA"/>
    <w:rsid w:val="00F32E87"/>
    <w:rsid w:val="00F44FF1"/>
    <w:rsid w:val="00F50A2A"/>
    <w:rsid w:val="00F52C25"/>
    <w:rsid w:val="00F54465"/>
    <w:rsid w:val="00F546EB"/>
    <w:rsid w:val="00F6115A"/>
    <w:rsid w:val="00F65A0C"/>
    <w:rsid w:val="00F6739B"/>
    <w:rsid w:val="00F71207"/>
    <w:rsid w:val="00F728F3"/>
    <w:rsid w:val="00F7430B"/>
    <w:rsid w:val="00F76939"/>
    <w:rsid w:val="00F77CFC"/>
    <w:rsid w:val="00F93BCB"/>
    <w:rsid w:val="00F95D54"/>
    <w:rsid w:val="00F97138"/>
    <w:rsid w:val="00F973F1"/>
    <w:rsid w:val="00FA104A"/>
    <w:rsid w:val="00FA17B2"/>
    <w:rsid w:val="00FA2391"/>
    <w:rsid w:val="00FA23C0"/>
    <w:rsid w:val="00FA2501"/>
    <w:rsid w:val="00FA614B"/>
    <w:rsid w:val="00FA76CB"/>
    <w:rsid w:val="00FB4A01"/>
    <w:rsid w:val="00FB534D"/>
    <w:rsid w:val="00FC1E08"/>
    <w:rsid w:val="00FC67C7"/>
    <w:rsid w:val="00FD366E"/>
    <w:rsid w:val="00FE046C"/>
    <w:rsid w:val="00FE5DF5"/>
    <w:rsid w:val="00FF1A49"/>
    <w:rsid w:val="00FF5390"/>
    <w:rsid w:val="00FF67FF"/>
    <w:rsid w:val="28C80CEA"/>
    <w:rsid w:val="5ACF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F239"/>
  <w15:docId w15:val="{DAE25130-9B4E-4E19-8F53-48DE313D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jc w:val="both"/>
    </w:pPr>
    <w:rPr>
      <w:kern w:val="2"/>
      <w:sz w:val="24"/>
      <w:szCs w:val="22"/>
      <w:lang w:val="id-ID"/>
      <w14:ligatures w14:val="standardContextual"/>
    </w:rPr>
  </w:style>
  <w:style w:type="paragraph" w:styleId="Heading1">
    <w:name w:val="heading 1"/>
    <w:basedOn w:val="Normal"/>
    <w:next w:val="Normal"/>
    <w:link w:val="Heading1Char"/>
    <w:autoRedefine/>
    <w:uiPriority w:val="9"/>
    <w:qFormat/>
    <w:rsid w:val="00D10EDA"/>
    <w:pPr>
      <w:keepNext/>
      <w:keepLines/>
      <w:spacing w:after="240" w:line="276" w:lineRule="auto"/>
      <w:jc w:val="center"/>
      <w:outlineLvl w:val="0"/>
    </w:pPr>
    <w:rPr>
      <w:rFonts w:eastAsiaTheme="majorEastAsia" w:cstheme="majorBidi"/>
      <w:b/>
      <w:bCs/>
      <w:color w:val="000000" w:themeColor="text1"/>
      <w:kern w:val="0"/>
      <w:sz w:val="28"/>
      <w:szCs w:val="36"/>
      <w14:ligatures w14:val="none"/>
    </w:rPr>
  </w:style>
  <w:style w:type="paragraph" w:styleId="Heading2">
    <w:name w:val="heading 2"/>
    <w:basedOn w:val="Normal"/>
    <w:next w:val="Normal"/>
    <w:link w:val="Heading2Char"/>
    <w:autoRedefine/>
    <w:uiPriority w:val="9"/>
    <w:unhideWhenUsed/>
    <w:qFormat/>
    <w:rsid w:val="000E2599"/>
    <w:pPr>
      <w:keepNext/>
      <w:keepLines/>
      <w:spacing w:before="40" w:after="240" w:line="360" w:lineRule="auto"/>
      <w:outlineLvl w:val="1"/>
    </w:pPr>
    <w:rPr>
      <w:rFonts w:eastAsiaTheme="majorEastAsia" w:cstheme="majorBidi"/>
      <w:b/>
      <w:kern w:val="0"/>
      <w:szCs w:val="26"/>
      <w14:ligatures w14:val="none"/>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autoRedefine/>
    <w:uiPriority w:val="9"/>
    <w:unhideWhenUsed/>
    <w:qFormat/>
    <w:rsid w:val="00AE04C6"/>
    <w:pPr>
      <w:keepNext/>
      <w:keepLines/>
      <w:spacing w:before="80" w:after="4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szCs w:val="24"/>
      <w:lang w:val="id"/>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cs="Times New Roman"/>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E54755"/>
    <w:pPr>
      <w:spacing w:after="80" w:line="240" w:lineRule="auto"/>
      <w:contextualSpacing/>
      <w:jc w:val="center"/>
    </w:pPr>
    <w:rPr>
      <w:rFonts w:eastAsiaTheme="majorEastAsia" w:cstheme="majorBidi"/>
      <w:b/>
      <w:spacing w:val="-10"/>
      <w:kern w:val="28"/>
      <w:sz w:val="36"/>
      <w:szCs w:val="56"/>
    </w:rPr>
  </w:style>
  <w:style w:type="paragraph" w:styleId="TOC1">
    <w:name w:val="toc 1"/>
    <w:basedOn w:val="Normal"/>
    <w:next w:val="Normal"/>
    <w:autoRedefine/>
    <w:uiPriority w:val="39"/>
    <w:unhideWhenUsed/>
    <w:rsid w:val="00D05834"/>
    <w:pPr>
      <w:tabs>
        <w:tab w:val="right" w:leader="dot" w:pos="8261"/>
      </w:tabs>
      <w:spacing w:after="100" w:line="276" w:lineRule="auto"/>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rsid w:val="00D10EDA"/>
    <w:rPr>
      <w:rFonts w:eastAsiaTheme="majorEastAsia" w:cstheme="majorBidi"/>
      <w:b/>
      <w:bCs/>
      <w:color w:val="000000" w:themeColor="text1"/>
      <w:sz w:val="28"/>
      <w:szCs w:val="36"/>
      <w:lang w:val="id-ID"/>
    </w:rPr>
  </w:style>
  <w:style w:type="character" w:customStyle="1" w:styleId="Heading2Char">
    <w:name w:val="Heading 2 Char"/>
    <w:basedOn w:val="DefaultParagraphFont"/>
    <w:link w:val="Heading2"/>
    <w:uiPriority w:val="9"/>
    <w:rsid w:val="000E2599"/>
    <w:rPr>
      <w:rFonts w:eastAsiaTheme="majorEastAsia" w:cstheme="majorBidi"/>
      <w:b/>
      <w:sz w:val="24"/>
      <w:szCs w:val="26"/>
      <w:lang w:val="id-ID"/>
    </w:rPr>
  </w:style>
  <w:style w:type="character" w:customStyle="1" w:styleId="Heading3Char">
    <w:name w:val="Heading 3 Char"/>
    <w:basedOn w:val="DefaultParagraphFont"/>
    <w:link w:val="Heading3"/>
    <w:uiPriority w:val="9"/>
    <w:qFormat/>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AE04C6"/>
    <w:rPr>
      <w:rFonts w:eastAsiaTheme="majorEastAsia" w:cstheme="majorBidi"/>
      <w:b/>
      <w:bCs/>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sid w:val="00E54755"/>
    <w:rPr>
      <w:rFonts w:eastAsiaTheme="majorEastAsia" w:cstheme="majorBidi"/>
      <w:b/>
      <w:spacing w:val="-10"/>
      <w:kern w:val="28"/>
      <w:sz w:val="36"/>
      <w:szCs w:val="56"/>
      <w:lang w:val="id-ID"/>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uiPriority w:val="1"/>
    <w:rPr>
      <w:rFonts w:eastAsia="Times New Roman" w:cs="Times New Roman"/>
      <w:kern w:val="0"/>
      <w:szCs w:val="24"/>
      <w:lang w:val="id"/>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bCs w:val="0"/>
      <w:color w:val="2F5496" w:themeColor="accent1" w:themeShade="BF"/>
      <w:sz w:val="32"/>
      <w:szCs w:val="32"/>
    </w:rPr>
  </w:style>
  <w:style w:type="character" w:styleId="UnresolvedMention">
    <w:name w:val="Unresolved Mention"/>
    <w:basedOn w:val="DefaultParagraphFont"/>
    <w:uiPriority w:val="99"/>
    <w:semiHidden/>
    <w:unhideWhenUsed/>
    <w:rsid w:val="001F5E1E"/>
    <w:rPr>
      <w:color w:val="605E5C"/>
      <w:shd w:val="clear" w:color="auto" w:fill="E1DFDD"/>
    </w:rPr>
  </w:style>
  <w:style w:type="paragraph" w:customStyle="1" w:styleId="isselectedend">
    <w:name w:val="isselectedend"/>
    <w:basedOn w:val="Normal"/>
    <w:rsid w:val="002B2243"/>
    <w:pPr>
      <w:spacing w:before="100" w:beforeAutospacing="1" w:after="100" w:afterAutospacing="1" w:line="240" w:lineRule="auto"/>
      <w:jc w:val="left"/>
    </w:pPr>
    <w:rPr>
      <w:rFonts w:eastAsia="Times New Roman" w:cs="Times New Roman"/>
      <w:kern w:val="0"/>
      <w:szCs w:val="24"/>
      <w14:ligatures w14:val="none"/>
    </w:rPr>
  </w:style>
  <w:style w:type="character" w:styleId="FollowedHyperlink">
    <w:name w:val="FollowedHyperlink"/>
    <w:basedOn w:val="DefaultParagraphFont"/>
    <w:uiPriority w:val="99"/>
    <w:semiHidden/>
    <w:unhideWhenUsed/>
    <w:rsid w:val="00AB15F0"/>
    <w:rPr>
      <w:color w:val="954F72" w:themeColor="followedHyperlink"/>
      <w:u w:val="single"/>
    </w:rPr>
  </w:style>
  <w:style w:type="paragraph" w:styleId="Caption">
    <w:name w:val="caption"/>
    <w:basedOn w:val="Normal"/>
    <w:next w:val="Normal"/>
    <w:uiPriority w:val="35"/>
    <w:unhideWhenUsed/>
    <w:qFormat/>
    <w:rsid w:val="002C0E98"/>
    <w:pPr>
      <w:spacing w:after="200" w:line="240" w:lineRule="auto"/>
    </w:pPr>
    <w:rPr>
      <w:i/>
      <w:iCs/>
      <w:color w:val="44546A" w:themeColor="text2"/>
      <w:sz w:val="18"/>
      <w:szCs w:val="18"/>
    </w:rPr>
  </w:style>
  <w:style w:type="paragraph" w:customStyle="1" w:styleId="msonormal0">
    <w:name w:val="msonormal"/>
    <w:basedOn w:val="Normal"/>
    <w:rsid w:val="00AB0C2D"/>
    <w:pPr>
      <w:spacing w:before="100" w:beforeAutospacing="1" w:after="100" w:afterAutospacing="1" w:line="240" w:lineRule="auto"/>
      <w:jc w:val="left"/>
    </w:pPr>
    <w:rPr>
      <w:rFonts w:eastAsia="Times New Roman" w:cs="Times New Roman"/>
      <w:kern w:val="0"/>
      <w:szCs w:val="24"/>
      <w14:ligatures w14:val="none"/>
    </w:rPr>
  </w:style>
  <w:style w:type="paragraph" w:customStyle="1" w:styleId="xl65">
    <w:name w:val="xl65"/>
    <w:basedOn w:val="Normal"/>
    <w:rsid w:val="00AB0C2D"/>
    <w:pPr>
      <w:shd w:val="clear" w:color="000000" w:fill="E7E6E6"/>
      <w:spacing w:before="100" w:beforeAutospacing="1" w:after="100" w:afterAutospacing="1" w:line="240" w:lineRule="auto"/>
      <w:jc w:val="center"/>
    </w:pPr>
    <w:rPr>
      <w:rFonts w:eastAsia="Times New Roman" w:cs="Times New Roman"/>
      <w:kern w:val="0"/>
      <w:szCs w:val="24"/>
      <w14:ligatures w14:val="none"/>
    </w:rPr>
  </w:style>
  <w:style w:type="paragraph" w:customStyle="1" w:styleId="xl66">
    <w:name w:val="xl66"/>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14:ligatures w14:val="none"/>
    </w:rPr>
  </w:style>
  <w:style w:type="paragraph" w:customStyle="1" w:styleId="xl67">
    <w:name w:val="xl67"/>
    <w:basedOn w:val="Normal"/>
    <w:rsid w:val="00AB0C2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Calibri" w:eastAsia="Times New Roman" w:hAnsi="Calibri" w:cs="Calibri"/>
      <w:b/>
      <w:bCs/>
      <w:kern w:val="0"/>
      <w:szCs w:val="24"/>
      <w14:ligatures w14:val="none"/>
    </w:rPr>
  </w:style>
  <w:style w:type="paragraph" w:customStyle="1" w:styleId="xl68">
    <w:name w:val="xl68"/>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Cs w:val="24"/>
      <w14:ligatures w14:val="none"/>
    </w:rPr>
  </w:style>
  <w:style w:type="paragraph" w:styleId="TableofFigures">
    <w:name w:val="table of figures"/>
    <w:basedOn w:val="Normal"/>
    <w:next w:val="Normal"/>
    <w:uiPriority w:val="99"/>
    <w:unhideWhenUsed/>
    <w:rsid w:val="00AA6471"/>
    <w:pPr>
      <w:spacing w:after="0"/>
    </w:pPr>
  </w:style>
  <w:style w:type="paragraph" w:styleId="TOAHeading">
    <w:name w:val="toa heading"/>
    <w:basedOn w:val="Normal"/>
    <w:next w:val="Normal"/>
    <w:uiPriority w:val="99"/>
    <w:semiHidden/>
    <w:unhideWhenUsed/>
    <w:rsid w:val="004207DC"/>
    <w:pPr>
      <w:spacing w:before="120"/>
    </w:pPr>
    <w:rPr>
      <w:rFonts w:asciiTheme="majorHAnsi" w:eastAsiaTheme="majorEastAsia" w:hAnsiTheme="majorHAnsi" w:cstheme="majorBidi"/>
      <w:b/>
      <w:bCs/>
      <w:szCs w:val="24"/>
    </w:rPr>
  </w:style>
  <w:style w:type="table" w:styleId="PlainTable2">
    <w:name w:val="Plain Table 2"/>
    <w:basedOn w:val="TableNormal"/>
    <w:uiPriority w:val="42"/>
    <w:rsid w:val="009C11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6C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BD3756"/>
    <w:pPr>
      <w:spacing w:after="100" w:line="278" w:lineRule="auto"/>
      <w:ind w:left="720"/>
      <w:jc w:val="left"/>
    </w:pPr>
    <w:rPr>
      <w:rFonts w:asciiTheme="minorHAnsi" w:eastAsiaTheme="minorEastAsia" w:hAnsiTheme="minorHAnsi"/>
      <w:szCs w:val="24"/>
      <w:lang w:val="en-US"/>
    </w:rPr>
  </w:style>
  <w:style w:type="paragraph" w:styleId="TOC5">
    <w:name w:val="toc 5"/>
    <w:basedOn w:val="Normal"/>
    <w:next w:val="Normal"/>
    <w:autoRedefine/>
    <w:uiPriority w:val="39"/>
    <w:unhideWhenUsed/>
    <w:rsid w:val="00BD3756"/>
    <w:pPr>
      <w:spacing w:after="100" w:line="278" w:lineRule="auto"/>
      <w:ind w:left="960"/>
      <w:jc w:val="left"/>
    </w:pPr>
    <w:rPr>
      <w:rFonts w:asciiTheme="minorHAnsi" w:eastAsiaTheme="minorEastAsia" w:hAnsiTheme="minorHAnsi"/>
      <w:szCs w:val="24"/>
      <w:lang w:val="en-US"/>
    </w:rPr>
  </w:style>
  <w:style w:type="paragraph" w:styleId="TOC6">
    <w:name w:val="toc 6"/>
    <w:basedOn w:val="Normal"/>
    <w:next w:val="Normal"/>
    <w:autoRedefine/>
    <w:uiPriority w:val="39"/>
    <w:unhideWhenUsed/>
    <w:rsid w:val="00BD3756"/>
    <w:pPr>
      <w:spacing w:after="100" w:line="278" w:lineRule="auto"/>
      <w:ind w:left="1200"/>
      <w:jc w:val="left"/>
    </w:pPr>
    <w:rPr>
      <w:rFonts w:asciiTheme="minorHAnsi" w:eastAsiaTheme="minorEastAsia" w:hAnsiTheme="minorHAnsi"/>
      <w:szCs w:val="24"/>
      <w:lang w:val="en-US"/>
    </w:rPr>
  </w:style>
  <w:style w:type="paragraph" w:styleId="TOC7">
    <w:name w:val="toc 7"/>
    <w:basedOn w:val="Normal"/>
    <w:next w:val="Normal"/>
    <w:autoRedefine/>
    <w:uiPriority w:val="39"/>
    <w:unhideWhenUsed/>
    <w:rsid w:val="00BD3756"/>
    <w:pPr>
      <w:spacing w:after="100" w:line="278" w:lineRule="auto"/>
      <w:ind w:left="1440"/>
      <w:jc w:val="left"/>
    </w:pPr>
    <w:rPr>
      <w:rFonts w:asciiTheme="minorHAnsi" w:eastAsiaTheme="minorEastAsia" w:hAnsiTheme="minorHAnsi"/>
      <w:szCs w:val="24"/>
      <w:lang w:val="en-US"/>
    </w:rPr>
  </w:style>
  <w:style w:type="paragraph" w:styleId="TOC8">
    <w:name w:val="toc 8"/>
    <w:basedOn w:val="Normal"/>
    <w:next w:val="Normal"/>
    <w:autoRedefine/>
    <w:uiPriority w:val="39"/>
    <w:unhideWhenUsed/>
    <w:rsid w:val="00BD3756"/>
    <w:pPr>
      <w:spacing w:after="100" w:line="278" w:lineRule="auto"/>
      <w:ind w:left="1680"/>
      <w:jc w:val="left"/>
    </w:pPr>
    <w:rPr>
      <w:rFonts w:asciiTheme="minorHAnsi" w:eastAsiaTheme="minorEastAsia" w:hAnsiTheme="minorHAnsi"/>
      <w:szCs w:val="24"/>
      <w:lang w:val="en-US"/>
    </w:rPr>
  </w:style>
  <w:style w:type="paragraph" w:styleId="TOC9">
    <w:name w:val="toc 9"/>
    <w:basedOn w:val="Normal"/>
    <w:next w:val="Normal"/>
    <w:autoRedefine/>
    <w:uiPriority w:val="39"/>
    <w:unhideWhenUsed/>
    <w:rsid w:val="00BD3756"/>
    <w:pPr>
      <w:spacing w:after="100" w:line="278" w:lineRule="auto"/>
      <w:ind w:left="1920"/>
      <w:jc w:val="left"/>
    </w:pPr>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x.co.id/id/perusahaan-tercatat/laporan-keuangan-dan-tahunan/" TargetMode="External"/><Relationship Id="rId18" Type="http://schemas.openxmlformats.org/officeDocument/2006/relationships/hyperlink" Target="https://doi.org/10.26874/portofolio.v21i1.449" TargetMode="External"/><Relationship Id="rId26" Type="http://schemas.openxmlformats.org/officeDocument/2006/relationships/hyperlink" Target="https://www.ksei.co.id" TargetMode="External"/><Relationship Id="rId39" Type="http://schemas.openxmlformats.org/officeDocument/2006/relationships/hyperlink" Target="https://doi.org/10.31539/costing.v7i5.11936" TargetMode="External"/><Relationship Id="rId21" Type="http://schemas.openxmlformats.org/officeDocument/2006/relationships/hyperlink" Target="https://doi.org/10.51577/ijipublication.v1i3.130" TargetMode="External"/><Relationship Id="rId34" Type="http://schemas.openxmlformats.org/officeDocument/2006/relationships/hyperlink" Target="https://ojk.go.id/id/regulasi/otoritas-jasa-keuangan/peraturan-ojk/Documents/Pages/POJK-Nomor-55-Tahun-2015/POJK%2055-2015.pdf" TargetMode="External"/><Relationship Id="rId42" Type="http://schemas.openxmlformats.org/officeDocument/2006/relationships/hyperlink" Target="https://doi.org/10.1590/1806-9649-2022v29e8023" TargetMode="External"/><Relationship Id="rId7" Type="http://schemas.openxmlformats.org/officeDocument/2006/relationships/hyperlink" Target="https://doi.org/10.31967/jakuma.v6i2.1773" TargetMode="External"/><Relationship Id="rId2" Type="http://schemas.openxmlformats.org/officeDocument/2006/relationships/customXml" Target="../customXml/item2.xml"/><Relationship Id="rId16" Type="http://schemas.openxmlformats.org/officeDocument/2006/relationships/hyperlink" Target="https://doi.org/10.1111/1540-6261.00511" TargetMode="External"/><Relationship Id="rId20" Type="http://schemas.openxmlformats.org/officeDocument/2006/relationships/hyperlink" Target="https://doi.org/10.21511/bbs.20(3).2025.19" TargetMode="External"/><Relationship Id="rId29" Type="http://schemas.openxmlformats.org/officeDocument/2006/relationships/hyperlink" Target="https://doi.org/10.1108/GM-06-2019-0088" TargetMode="External"/><Relationship Id="rId41" Type="http://schemas.openxmlformats.org/officeDocument/2006/relationships/hyperlink" Target="https://doi.org/10.1111/j.1467-6486.2007.00752.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mahasiswa.stiesia.ac.id/index.php/jira/article/view/5137" TargetMode="External"/><Relationship Id="rId24" Type="http://schemas.openxmlformats.org/officeDocument/2006/relationships/hyperlink" Target="https://doi.org/10.1016/0304-405X(76)90026-X" TargetMode="External"/><Relationship Id="rId32" Type="http://schemas.openxmlformats.org/officeDocument/2006/relationships/hyperlink" Target="https://www.shsconferences.org/articles/shsconf/abs/2025/03/shsconf_icarsess2024_01010/shsconf_icarsess2024_01010.html" TargetMode="External"/><Relationship Id="rId37" Type="http://schemas.openxmlformats.org/officeDocument/2006/relationships/hyperlink" Target="https://doi.org/10.47080/progress.v4i2.1311" TargetMode="External"/><Relationship Id="rId40" Type="http://schemas.openxmlformats.org/officeDocument/2006/relationships/hyperlink" Target="https://doi.org/10.1080/23311975.2022.2122333" TargetMode="External"/><Relationship Id="rId5" Type="http://schemas.openxmlformats.org/officeDocument/2006/relationships/settings" Target="settings.xml"/><Relationship Id="rId15" Type="http://schemas.openxmlformats.org/officeDocument/2006/relationships/hyperlink" Target="https://www.jstor.org/stable/3665623" TargetMode="External"/><Relationship Id="rId23" Type="http://schemas.openxmlformats.org/officeDocument/2006/relationships/hyperlink" Target="https://doi.org/10.29040/ijebar.v7i1.8100" TargetMode="External"/><Relationship Id="rId28" Type="http://schemas.openxmlformats.org/officeDocument/2006/relationships/hyperlink" Target="https://doi.org/10.1108/MF-08-2023-0473" TargetMode="External"/><Relationship Id="rId36" Type="http://schemas.openxmlformats.org/officeDocument/2006/relationships/hyperlink" Target="https://e-journal.trisakti.ac.id/index.php/jet/article/view/18026" TargetMode="External"/><Relationship Id="rId10" Type="http://schemas.openxmlformats.org/officeDocument/2006/relationships/hyperlink" Target="https://doi.org/10.22219/jrak.v15i2.30189" TargetMode="External"/><Relationship Id="rId19" Type="http://schemas.openxmlformats.org/officeDocument/2006/relationships/hyperlink" Target="%20https://doi.org/10.37531/sejaman.v5i2.2081" TargetMode="External"/><Relationship Id="rId31" Type="http://schemas.openxmlformats.org/officeDocument/2006/relationships/hyperlink" Target="https://doi.org/10.33197/bes.vol1.iss1.2021.652"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oi.org/10.1108/IJAIM-06-2017-0073" TargetMode="External"/><Relationship Id="rId14" Type="http://schemas.openxmlformats.org/officeDocument/2006/relationships/hyperlink" Target="https://www.idx.co.id/id/data-pasar/data-saham/daftar-saham/" TargetMode="External"/><Relationship Id="rId22" Type="http://schemas.openxmlformats.org/officeDocument/2006/relationships/hyperlink" Target="%20https://doi.org/10.46806/ja.v14i1.1398" TargetMode="External"/><Relationship Id="rId27" Type="http://schemas.openxmlformats.org/officeDocument/2006/relationships/hyperlink" Target="https://doi.org/10.21776/ub.jamal.2020.11.2.19" TargetMode="External"/><Relationship Id="rId30" Type="http://schemas.openxmlformats.org/officeDocument/2006/relationships/hyperlink" Target="https://doi.org/10.21512/bbr.v16i3.13573" TargetMode="External"/><Relationship Id="rId35" Type="http://schemas.openxmlformats.org/officeDocument/2006/relationships/hyperlink" Target="https://ojk.go.id/id/regulasi/otoritas-jasa-keuangan/peraturan-ojk/Documents/Pages/POJK-Nomor-17-Tahun-2023/POJK%2017-2023.pdf" TargetMode="External"/><Relationship Id="rId43" Type="http://schemas.openxmlformats.org/officeDocument/2006/relationships/fontTable" Target="fontTable.xml"/><Relationship Id="rId8" Type="http://schemas.openxmlformats.org/officeDocument/2006/relationships/hyperlink" Target="https://doi.org/10.1007/s11156-024-01315-y" TargetMode="External"/><Relationship Id="rId3" Type="http://schemas.openxmlformats.org/officeDocument/2006/relationships/numbering" Target="numbering.xml"/><Relationship Id="rId12" Type="http://schemas.openxmlformats.org/officeDocument/2006/relationships/hyperlink" Target="https://finansial.bisnis.com/read/20231220/89/1725647" TargetMode="External"/><Relationship Id="rId17" Type="http://schemas.openxmlformats.org/officeDocument/2006/relationships/hyperlink" Target="https://www.cnbcindonesia.com/market/20240107063605-17-503310" TargetMode="External"/><Relationship Id="rId25" Type="http://schemas.openxmlformats.org/officeDocument/2006/relationships/hyperlink" Target="https://doi.org/10.1108/IJOEM-01-2021-0004" TargetMode="External"/><Relationship Id="rId33" Type="http://schemas.openxmlformats.org/officeDocument/2006/relationships/hyperlink" Target="https://ojk.go.id/id/regulasi/otoritas-jasa-keuangan/peraturan-ojk/Documents/Pages/POJK-Nomor-33-Tahun-2014/POJK%2033-2014.pdf" TargetMode="External"/><Relationship Id="rId38" Type="http://schemas.openxmlformats.org/officeDocument/2006/relationships/hyperlink" Target="https://peraturan.bpk.go.id/Details/240203/uu-no-4-tahun-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640B5-F788-4815-98FB-6432951E08E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822477366"/>
    <we:property name="MENDELEY_CITATIONS" value="[{&quot;citationID&quot;:&quot;MENDELEY_CITATION_be20e268-c916-4918-a778-dc099b70af7a&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d3313f6f-e170-45ca-89a1-09d541213b41&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680430c8-7b96-4640-bf07-1ca7acd6b9b8&quot;,&quot;properties&quot;:{&quot;noteIndex&quot;:0},&quot;isEdited&quot;:false,&quot;manualOverride&quot;:{&quot;isManuallyOverridden&quot;:false,&quot;citeprocText&quot;:&quot;(Hasan et al., 2025; Zarefar &amp;#38; Narsa, 2023)&quot;,&quot;manualOverrideText&quot;:&quot;&quot;},&quot;citationTag&quot;:&quot;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quot;,&quot;citationItems&quot;:[{&quot;id&quot;:&quot;b08f78fb-488a-3811-8a69-0353d5d78bec&quot;,&quot;itemData&quot;:{&quot;type&quot;:&quot;article-journal&quot;,&quot;id&quot;:&quot;b08f78fb-488a-3811-8a69-0353d5d78bec&quot;,&quot;title&quot;:&quot;Do corporate governance drive firm performance? Evidence from Indonesia&quot;,&quot;author&quot;:[{&quot;family&quot;:&quot;Zarefar&quot;,&quot;given&quot;:&quot;Arumega&quot;,&quot;parse-names&quot;:false,&quot;dropping-particle&quot;:&quot;&quot;,&quot;non-dropping-particle&quot;:&quot;&quot;},{&quot;family&quot;:&quot;Narsa&quot;,&quot;given&quot;:&quot;I. Made&quot;,&quot;parse-names&quot;:false,&quot;dropping-particle&quot;:&quot;&quot;,&quot;non-dropping-particle&quot;:&quot;&quot;}],&quot;container-title&quot;:&quot;Gestao e Producao&quot;,&quot;DOI&quot;:&quot;10.1590/1806-9649-2022V29E7322&quot;,&quot;ISSN&quot;:&quot;18069649&quot;,&quot;issued&quot;:{&quot;date-parts&quot;:[[2023]]},&quot;abstract&quot;:&quot;This study examines the effect of audit committee characteristics and board diversity on the performance of companies in Indonesia. In addition, this research also explores the effect of the audit committee's characteristics and the board's diversity on the company's performance in various age classifications. The study involves 170 samples of primary and secondary sector firms registered on the Indonesian Stock Exchange from 2014 to 2020, analyzed by data panel regression analysis. The study's main findings disclosed that the audit committee's size and the competence of the financial audit committee are positively influencing the market-based firm performance. However, it does not significantly affect the audit committee's meeting frequency regarding the market-based strong performance. Furthermore, the study discloses that foreign and board gender positively influences market-based firm performance. Such findings benefit policymakers in developing appropriate governance mechanisms in the Indonesian market as a developing country. To the best author's knowledge, this study is the first to comprehensively analyze the association between audit committee characteristics and board diversity on market-based firm performance. Furthermore, no previous study conducted additional analyzes based on firm age in the Indonesian context.&quot;,&quot;publisher&quot;:&quot;Brazilian Institute for Information in Science and Technology&quot;,&quot;volume&quot;:&quot;30&quot;,&quot;container-title-short&quot;:&quot;&quot;},&quot;isTemporary&quot;:false},{&quot;id&quot;:&quot;7b35b4a7-3340-3987-aedf-a71bd1fe32ae&quot;,&quot;itemData&quot;:{&quot;type&quot;:&quot;article-journal&quot;,&quot;id&quot;:&quot;7b35b4a7-3340-3987-aedf-a71bd1fe32ae&quot;,&quot;title&quot;:&quot;Corporate governance mechanisms and firm value in emerging markets: Evidence from the banking sector of Bangladesh&quot;,&quot;author&quot;:[{&quot;family&quot;:&quot;Hasan&quot;,&quot;given&quot;:&quot;Shaikh Masrick&quot;,&quot;parse-names&quot;:false,&quot;dropping-particle&quot;:&quot;&quot;,&quot;non-dropping-particle&quot;:&quot;&quot;},{&quot;family&quot;:&quot;Islam&quot;,&quot;given&quot;:&quot;Roushanara&quot;,&quot;parse-names&quot;:false,&quot;dropping-particle&quot;:&quot;&quot;,&quot;non-dropping-particle&quot;:&quot;&quot;},{&quot;family&quot;:&quot;Saha&quot;,&quot;given&quot;:&quot;Priya&quot;,&quot;parse-names&quot;:false,&quot;dropping-particle&quot;:&quot;&quot;,&quot;non-dropping-particle&quot;:&quot;&quot;}],&quot;container-title&quot;:&quot;Banks and Bank Systems&quot;,&quot;DOI&quot;:&quot;10.21511/bbs.20(3).2025.19&quot;,&quot;ISSN&quot;:&quot;19917074&quot;,&quot;issued&quot;:{&quot;date-parts&quot;:[[2025]]},&quot;page&quot;:&quot;263-278&quot;,&quot;abstract&quot;:&quot;This study, grounded in agency theory, stewardship theory, and resource dependency theory, examines the influence of corporate governance on firm value within the banking sector of Bangladesh. This research analyzes annual panel data from 22 commercial banks spanning the period from 2014 to 2023, investigating the impact of governance structures, specifically board composition, ownership structure, and audit committee characteristics, on firm value using Tobin’s Q, market capitalization, and the marketto-book value of equity measures. The Feasible Generalized Least Squares (FGLS) method is utilized for dynamic panel data estimation to address cross-sectional dependence, heteroscedasticity, and autocorrelation, with robustness evaluated via the PanelCorrected Standard Errors (PCSE) approach. Overall findings reveal that increased managerial ownership, gender-diverse boards, and an independent audit committee director correlate positively with firm value. Specifically, institutional ownership exhibits a positive correlation with Tobin’s Q and the market-to-book value of equity, whereas foreign ownership and larger boards positively affect Tobin’s Q and market capitalization. In contrast, board size adversely impacts the market-to-book value of equity, while frequent board meetings correlate with a diminished Tobin’s Q. The audit committee size and meeting frequency have no statistically significant effect. These findings provide significant insights for regulators and policymakers, highlighting the necessity of inclusive governance, strategic ownership alignment, and independent oversight in enhancing the value of banks in emerging economies, such as Bangladesh.&quot;,&quot;publisher&quot;:&quot;LLC CPC Business Perspectives&quot;,&quot;issue&quot;:&quot;3&quot;,&quot;volume&quot;:&quot;20&quot;,&quot;container-title-short&quot;:&quot;&quot;},&quot;isTemporary&quot;:false}]},{&quot;citationID&quot;:&quot;MENDELEY_CITATION_fecdc84e-9e3f-43b9-9244-6ce78aa7c91e&quot;,&quot;properties&quot;:{&quot;noteIndex&quot;:0},&quot;isEdited&quot;:false,&quot;manualOverride&quot;:{&quot;isManuallyOverridden&quot;:true,&quot;citeprocText&quot;:&quot;(KSEI, 2024)&quot;,&quot;manualOverrideText&quot;:&quot;KSEI (2024)&quot;},&quot;citationTag&quot;:&quot;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quot;,&quot;citationItems&quot;:[{&quot;id&quot;:&quot;ddfad94b-84df-3dec-853c-4cb182b23864&quot;,&quot;itemData&quot;:{&quot;type&quot;:&quot;webpage&quot;,&quot;id&quot;:&quot;ddfad94b-84df-3dec-853c-4cb182b23864&quot;,&quot;title&quot;:&quot;KSEI&quot;,&quot;author&quot;:[{&quot;family&quot;:&quot;KSEI&quot;,&quot;given&quot;:&quot;&quot;,&quot;parse-names&quot;:false,&quot;dropping-particle&quot;:&quot;&quot;,&quot;non-dropping-particle&quot;:&quot;&quot;}],&quot;accessed&quot;:{&quot;date-parts&quot;:[[2026,6,8]]},&quot;URL&quot;:&quot;https://www.ksei.co.id/id&quot;,&quot;issued&quot;:{&quot;date-parts&quot;:[[2024]]},&quot;container-title-short&quot;:&quot;&quot;},&quot;isTemporary&quot;:false}]},{&quot;citationID&quot;:&quot;MENDELEY_CITATION_8dd68c2e-7ee8-4681-bae3-d2044324d508&quot;,&quot;properties&quot;:{&quot;noteIndex&quot;:0},&quot;isEdited&quot;:false,&quot;manualOverride&quot;:{&quot;isManuallyOverridden&quot;:false,&quot;citeprocText&quot;:&quot;(Bisnis.com, 2023; CNBC Indonesia, 2024)&quot;,&quot;manualOverrideText&quot;:&quot;&quot;},&quot;citationTag&quot;:&quot;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quot;,&quot;citationItems&quot;:[{&quot;id&quot;:&quot;f8f6ae5a-8a85-3034-99b3-516982af70dd&quot;,&quot;itemData&quot;:{&quot;type&quot;:&quot;webpage&quot;,&quot;id&quot;:&quot;f8f6ae5a-8a85-3034-99b3-516982af70dd&quot;,&quot;title&quot;:&quot;Daftar Perusahaan Pembiayaan yang Izin Usahanya Dicabut OJK pada 2023&quot;,&quot;author&quot;:[{&quot;family&quot;:&quot;Bisnis.com&quot;,&quot;given&quot;:&quot;Finansial&quot;,&quot;parse-names&quot;:false,&quot;dropping-particle&quot;:&quot;&quot;,&quot;non-dropping-particle&quot;:&quot;&quot;}],&quot;accessed&quot;:{&quot;date-parts&quot;:[[2026,6,7]]},&quot;URL&quot;:&quot;https://finansial.bisnis.com/read/20231220/89/1725647/daftar-perusahaan-pembiayaan-yang-izin-usahanya-dicabut-ojk-pada-2023&quot;,&quot;issued&quot;:{&quot;date-parts&quot;:[[2023]]},&quot;container-title-short&quot;:&quot;&quot;},&quot;isTemporary&quot;:false},{&quot;id&quot;:&quot;afdcdf42-8cfa-34e5-81e7-cdd9b7e9707a&quot;,&quot;itemData&quot;:{&quot;type&quot;:&quot;webpage&quot;,&quot;id&quot;:&quot;afdcdf42-8cfa-34e5-81e7-cdd9b7e9707a&quot;,&quot;title&quot;:&quot;OJK Ungkap 6 Multifinance RI Mati di 2023, 8 Lainnya Menghitung Hari&quot;,&quot;author&quot;:[{&quot;family&quot;:&quot;CNBC Indonesia&quot;,&quot;given&quot;:&quot;&quot;,&quot;parse-names&quot;:false,&quot;dropping-particle&quot;:&quot;&quot;,&quot;non-dropping-particle&quot;:&quot;&quot;}],&quot;accessed&quot;:{&quot;date-parts&quot;:[[2026,6,7]]},&quot;URL&quot;:&quot;https://www.cnbcindonesia.com/market/20240107063605-17-503310/ojk-ungkap-6-multifinance-ri-mati-di-2023-8-lainnya-menghitung-hari&quot;,&quot;issued&quot;:{&quot;date-parts&quot;:[[2024]]},&quot;container-title-short&quot;:&quot;&quot;},&quot;isTemporary&quot;:false}]},{&quot;citationID&quot;:&quot;MENDELEY_CITATION_fbc0b3c6-5689-45c1-9446-08dc073ae014&quot;,&quot;properties&quot;:{&quot;noteIndex&quot;:0},&quot;isEdited&quot;:false,&quot;manualOverride&quot;:{&quot;isManuallyOverridden&quot;:true,&quot;citeprocText&quot;:&quot;(&lt;i&gt;UU No. 4 Tahun 2023&lt;/i&gt;, n.d.)&quot;,&quot;manualOverrideText&quot;:&quot;Republik Indonesia, 2023&quot;},&quot;citationTag&quot;:&quot;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quot;,&quot;citationItems&quot;:[{&quot;id&quot;:&quot;ab6c5bc3-c82f-35a2-bcd6-30d35119cf69&quot;,&quot;itemData&quot;:{&quot;type&quot;:&quot;webpage&quot;,&quot;id&quot;:&quot;ab6c5bc3-c82f-35a2-bcd6-30d35119cf69&quot;,&quot;title&quot;:&quot;UU No. 4 Tahun 2023&quot;,&quot;accessed&quot;:{&quot;date-parts&quot;:[[2026,7,29]]},&quot;URL&quot;:&quot;https://peraturan.bpk.go.id/Details/240203/uu-no-4-tahun-2023&quot;,&quot;container-title-short&quot;:&quot;&quot;},&quot;isTemporary&quot;:false,&quot;suppress-author&quot;:false,&quot;composite&quot;:false,&quot;author-only&quot;:false}]},{&quot;citationID&quot;:&quot;MENDELEY_CITATION_0e3238ba-edbf-4e25-a2a9-d9d11cd5c57b&quot;,&quot;properties&quot;:{&quot;noteIndex&quot;:0},&quot;isEdited&quot;:false,&quot;manualOverride&quot;:{&quot;isManuallyOverridden&quot;:false,&quot;citeprocText&quot;:&quot;(Otoritas Jasa Keuangan, 2023)&quot;,&quot;manualOverrideText&quot;:&quot;&quot;},&quot;citationTag&quot;:&quot;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quot;,&quot;citationItems&quot;:[{&quot;id&quot;:&quot;02aaff28-5dbc-3c2e-b08f-96b39cb5064e&quot;,&quot;itemData&quot;:{&quot;type&quot;:&quot;webpage&quot;,&quot;id&quot;:&quot;02aaff28-5dbc-3c2e-b08f-96b39cb5064e&quot;,&quot;title&quot;:&quot;Penerapan Tata Kelola Bagi Bank Umum&quot;,&quot;author&quot;:[{&quot;family&quot;:&quot;Otoritas Jasa Keuangan&quot;,&quot;given&quot;:&quot;&quot;,&quot;parse-names&quot;:false,&quot;dropping-particle&quot;:&quot;&quot;,&quot;non-dropping-particle&quot;:&quot;&quot;}],&quot;accessed&quot;:{&quot;date-parts&quot;:[[2026,6,7]]},&quot;URL&quot;:&quot;https://ojk.go.id/id/regulasi/Pages/Penerapan-Tata-Kelola-Bagi-Bank-Umum.aspx&quot;,&quot;issued&quot;:{&quot;date-parts&quot;:[[2023]]},&quot;container-title-short&quot;:&quot;&quot;},&quot;isTemporary&quot;:false}]},{&quot;citationID&quot;:&quot;MENDELEY_CITATION_07e0e25c-d66a-4a74-a59d-a39961d84d82&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48cc10b7-cbff-4539-b4f9-36cec8e08676&quot;,&quot;properties&quot;:{&quot;noteIndex&quot;:0},&quot;isEdited&quot;:false,&quot;manualOverride&quot;:{&quot;isManuallyOverridden&quot;:true,&quot;citeprocText&quot;:&quot;(H. T. Lu, 2024)&quot;,&quot;manualOverrideText&quot;:&quot;Lu (2024)&quot;},&quot;citationTag&quot;:&quot;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quot;,&quot;citationItems&quot;:[{&quot;id&quot;:&quot;ad2fdc9f-48c0-3ad4-b7dc-31693e47ea2f&quot;,&quot;itemData&quot;:{&quot;type&quot;:&quot;article-journal&quot;,&quot;id&quot;:&quot;ad2fdc9f-48c0-3ad4-b7dc-31693e47ea2f&quot;,&quot;title&quot;:&quot;Controlling shareholders, their incentives and corporate governance ratings&quot;,&quot;author&quot;:[{&quot;family&quot;:&quot;Lu&quot;,&quot;given&quot;:&quot;Hsueh Tien&quot;,&quot;parse-names&quot;:false,&quot;dropping-particle&quot;:&quot;&quot;,&quot;non-dropping-particle&quot;:&quot;&quot;}],&quot;container-title&quot;:&quot;Managerial Finance&quot;,&quot;accessed&quot;:{&quot;date-parts&quot;:[[2026,6,7]]},&quot;DOI&quot;:&quot;10.1108/MF-08-2023-0473&quot;,&quot;ISSN&quot;:&quot;0307-4358&quot;,&quot;URL&quot;:&quot;https://dx.doi.org/10.1108/MF-08-2023-0473&quot;,&quot;issued&quot;:{&quot;date-parts&quot;:[[2024,7,17]]},&quot;page&quot;:&quot;1515-1532&quot;,&quot;abstract&quot;:&quot;Purpose: This study aims to facilitate the development of a better understanding of how controlling shareholders respond to the mandatory system of corporate governance rating (CGR) for all firms listed on Taiwanese stock markets and the incentives of controllers to apply corporate governance best practices. Design/methodology/approach: Using CGR data for all Taiwanese listed firms from 2014 to 2020, this study examines whether controlling shareholders determine a firm’s CGR. Findings: Single-family-controlled firms have the lowest CGRs, and management-controlled firms have the highest ratings. Blockholder-controlled firms are more likely to have top 20% ratings than single-family-controlled firms and bottom 20% ratings than single-family and management-controlled firms. All three categories of firms have unfavorable (favorable) ratings because of substitute governance effects (signaling effects). Originality/value: Management-controlled firms, in which agency problems refer to principal-agent conflicts, are more likely to have good ratings than single-family controlled firms, in which agency problems refer to principal-principal conflicts. Blockholder-controlled firms have extreme ratings, suggesting that multiple large shareholders develop corporate governance practices consistent with their best interests to increase firm value or expropriate wealth. Low cash flow rights and high control-ownership divergence lead firms to adopt additional governance arrangement(s) to make shareholders trust firms with capital and signal to shareholders that they can trust them with their capital.&quot;,&quot;publisher&quot;:&quot;Emerald Publishing&quot;,&quot;issue&quot;:&quot;8&quot;,&quot;volume&quot;:&quot;50&quot;,&quot;container-title-short&quot;:&quot;&quot;},&quot;isTemporary&quot;:false}]},{&quot;citationID&quot;:&quot;MENDELEY_CITATION_4fa24dae-0f7f-4a0f-877e-e67a660747b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suppress-author&quot;:false,&quot;composite&quot;:false,&quot;author-only&quot;:false}]},{&quot;citationID&quot;:&quot;MENDELEY_CITATION_71516d96-4c67-4a69-99a1-59ef66c2c9da&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4c1120d5-1896-4464-b6fb-b3d6622d2efb&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47d2dbf8-a09a-4ca8-a4d2-69edaecf0094&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878abc49-a9da-4757-8b98-a715e9c0f3f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23d38ac-3bca-4f74-b0db-18a184248e45&quot;,&quot;properties&quot;:{&quot;noteIndex&quot;:0},&quot;isEdited&quot;:false,&quot;manualOverride&quot;:{&quot;isManuallyOverridden&quot;:true,&quot;citeprocText&quot;:&quot;(Agyemang-Mintah &amp;#38; Schadewitz, 2019)&quot;,&quot;manualOverrideText&quot;:&quot;Agyemang-Mintah &amp; Schadewitz (2019)&quot;},&quot;citationTag&quot;:&quot;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cacd0aa5-9402-4e49-bb73-99bc0df24d4a&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c3c3b8e3-212b-4eab-b41e-ab15196af647&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adc0f758-fb09-4fb0-b3b9-4f506cf9d278&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ed5a42d0-722e-437c-b288-17728818023c&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790c5a3f-6a73-4a0a-a845-ee5ad520c59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8d7a2485-d4cc-45ea-9b82-c5986ebc2c90&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suppress-author&quot;:false,&quot;composite&quot;:false,&quot;author-only&quot;:false}]},{&quot;citationID&quot;:&quot;MENDELEY_CITATION_915ce9a0-3585-456f-9d6f-417e3ec4f365&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0823ea85-5070-403f-ae0c-aebe9e8ca88b&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d21057e4-7060-4c8c-b4f3-8c85794ef8eb&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1c946faa-410a-413c-a298-409bd1fc460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c466f9e-794a-4a74-aff7-4e4c36ae4dcf&quot;,&quot;properties&quot;:{&quot;noteIndex&quot;:0},&quot;isEdited&quot;:false,&quot;manualOverride&quot;:{&quot;isManuallyOverridden&quot;:true,&quot;citeprocText&quot;:&quot;(SPENCE, 1978)&quot;,&quot;manualOverrideText&quot;:&quot;(Spence, 1973)&quot;},&quot;citationTag&quot;:&quot;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quot;,&quot;citationItems&quot;:[{&quot;id&quot;:&quot;c871d21f-cffa-3925-aca4-81c15da9c570&quot;,&quot;itemData&quot;:{&quot;type&quot;:&quot;article-journal&quot;,&quot;id&quot;:&quot;c871d21f-cffa-3925-aca4-81c15da9c570&quot;,&quot;title&quot;:&quot;JOB MARKET SIGNALING&quot;,&quot;author&quot;:[{&quot;family&quot;:&quot;SPENCE&quot;,&quot;given&quot;:&quot;MICHAEL&quot;,&quot;parse-names&quot;:false,&quot;dropping-particle&quot;:&quot;&quot;,&quot;non-dropping-particle&quot;:&quot;&quot;}],&quot;container-title&quot;:&quot;Uncertainty in Economics&quot;,&quot;accessed&quot;:{&quot;date-parts&quot;:[[2026,7,29]]},&quot;DOI&quot;:&quot;10.1016/B978-0-12-214850-7.50025-5&quot;,&quot;URL&quot;:&quot;https://www.sciencedirect.com/science/chapter/edited-volume/abs/pii/B9780122148507500255&quot;,&quot;issued&quot;:{&quot;date-parts&quot;:[[1978,1,1]]},&quot;page&quot;:&quot;281-306&quot;,&quot;abstract&quot;:&quot;This chapter explores whether there is a theory of noise, that is, whether economic theory provides a basis for a model of behavior in the presence of noise. Psychoacoustic research has established the dimensions of sound as being the characteristics that persons process in distinguishing between sounds of differing noisiness. Noisiness is a personal ranking of sounds according to their characteristics. Index numbers have been constructed that combine the characteristics to rank the noisiness of complex noise environments such as those found near airports. These indices are unique to a linear transformation and concave contoured. Since such properties are the general features of the utility function, this research justifies the assumption that households rank locations in terms of their noise exposure through some utility function. On this basis, the chapter presents a derivation of the demand function for housing characteristics and the reduced form solution for housing prices in each distance ring.&quot;,&quot;publisher&quot;:&quot;Academic Press&quot;,&quot;container-title-short&quot;:&quot;&quot;},&quot;isTemporary&quot;:false,&quot;suppress-author&quot;:false,&quot;composite&quot;:false,&quot;author-only&quot;:false}]},{&quot;citationID&quot;:&quot;MENDELEY_CITATION_a594cce5-e9b1-4270-b520-804d8a55db3e&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5fb87396-4ee0-4430-b9c8-8133102e7f4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435cc24e-425e-4799-850b-fafc90c1b28a&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suppress-author&quot;:false,&quot;composite&quot;:false,&quot;author-only&quot;:false}]},{&quot;citationID&quot;:&quot;MENDELEY_CITATION_499db66e-88e9-4b51-8e8f-7913f3d0a075&quot;,&quot;properties&quot;:{&quot;noteIndex&quot;:0},&quot;isEdited&quot;:false,&quot;manualOverride&quot;:{&quot;isManuallyOverridden&quot;:true,&quot;citeprocText&quot;:&quot;(Claessens et al., 2002)&quot;,&quot;manualOverrideText&quot;:&quot;(Claessens et al., 2002).&quot;},&quot;citationTag&quot;:&quot;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2fce9069-0558-4afa-9df0-36a5a16cdb8d&quot;,&quot;properties&quot;:{&quot;noteIndex&quot;:0},&quot;isEdited&quot;:false,&quot;manualOverride&quot;:{&quot;isManuallyOverridden&quot;:true,&quot;citeprocText&quot;:&quot;(Otoritas Jasa Keuangan, 2014)&quot;,&quot;manualOverrideText&quot;:&quot;(Otoritas Jasa Keuangan, 2014).&quot;},&quot;citationTag&quot;:&quot;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quot;,&quot;citationItems&quot;:[{&quot;id&quot;:&quot;11999169-98d8-3694-8fe7-eca5ac488087&quot;,&quot;itemData&quot;:{&quot;type&quot;:&quot;webpage&quot;,&quot;id&quot;:&quot;11999169-98d8-3694-8fe7-eca5ac488087&quot;,&quot;title&quot;:&quot;POJK Nomor 33/POJK.04/2014&quot;,&quot;author&quot;:[{&quot;family&quot;:&quot;Otoritas Jasa Keuangan&quot;,&quot;given&quot;:&quot;&quot;,&quot;parse-names&quot;:false,&quot;dropping-particle&quot;:&quot;&quot;,&quot;non-dropping-particle&quot;:&quot;&quot;}],&quot;accessed&quot;:{&quot;date-parts&quot;:[[2026,6,7]]},&quot;URL&quot;:&quot;https://www.ojk.go.id/id/kanal/pasar-modal/regulasi/peraturan-ojk/Pages/pojk-direksi-dewan-komisaris-emiten.aspx&quot;,&quot;issued&quot;:{&quot;date-parts&quot;:[[2014]]},&quot;container-title-short&quot;:&quot;&quot;},&quot;isTemporary&quot;:false}]},{&quot;citationID&quot;:&quot;MENDELEY_CITATION_8c6bfd3e-a796-4f5a-930f-bd323f76ef86&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ba8ecb43-10b0-4f30-9fb6-1d0505ac99d6&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90f0ea22-3058-49c7-a9ce-9ff7b78ac866&quot;,&quot;properties&quot;:{&quot;noteIndex&quot;:0},&quot;isEdited&quot;:false,&quot;manualOverride&quot;:{&quot;isManuallyOverridden&quot;:true,&quot;citeprocText&quot;:&quot;(Mastella et al., 2021)&quot;,&quot;manualOverrideText&quot;:&quot;(Mastella et al., 2021).&quot;},&quot;citationTag&quot;:&quot;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citationID&quot;:&quot;MENDELEY_CITATION_05230909-a7bb-4d24-a1b2-885588a30248&quot;,&quot;properties&quot;:{&quot;noteIndex&quot;:0},&quot;isEdited&quot;:false,&quot;manualOverride&quot;:{&quot;isManuallyOverridden&quot;:true,&quot;citeprocText&quot;:&quot;(Chung &amp;#38; Pruitt, 1994)&quot;,&quot;manualOverrideText&quot;:&quot;(Chung &amp; Pruitt, 1994).&quot;},&quot;citationTag&quot;:&quot;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571fde41-5be8-4720-b697-49872084559c&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a68e36ba-4e0d-4968-91fa-6a854e09bbf9&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2e667db9-6507-4182-a1c3-2b0e00bd11a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7284430e-9dbc-472e-a44f-2e609422029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f4530166-e946-4278-9419-65d18cb3a967&quot;,&quot;properties&quot;:{&quot;noteIndex&quot;:0},&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57e03063-35b5-45f5-a840-4cd7b421400d&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0faa0242-2b3b-4626-8539-e23c73021270&quot;,&quot;properties&quot;:{&quot;noteIndex&quot;:0},&quot;isEdited&quot;:false,&quot;manualOverride&quot;:{&quot;isManuallyOverridden&quot;:true,&quot;citeprocText&quot;:&quot;(Nuzula &amp;#38; Maryanti, 2025)&quot;,&quot;manualOverrideText&quot;:&quot;Nuzula dan Maryanti (2025)&quot;},&quot;citationTag&quot;:&quot;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931a6c8e-95bc-46e2-a866-5f402b6e2fe3&quot;,&quot;properties&quot;:{&quot;noteIndex&quot;:0},&quot;isEdited&quot;:false,&quot;manualOverride&quot;:{&quot;isManuallyOverridden&quot;:true,&quot;citeprocText&quot;:&quot;(Jensen &amp;#38; Meckling, 1976)&quot;,&quot;manualOverrideText&quot;:&quot;Jensen dan Meckling (1976)&quot;},&quot;citationTag&quot;:&quot;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a8d924b-19f1-422b-a104-eee68ecd6c0d&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9ddc71d7-5096-48eb-8252-d640c7bf36ca&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dd4fcf23-3c72-4065-aa9a-9c0ddeb3ba8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e5a5d439-d2f0-4227-b0fc-72bb53bd6b77&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4dd7a06a-85b3-438b-b7c1-e9154dd11275&quot;,&quot;properties&quot;:{&quot;noteIndex&quot;:0},&quot;isEdited&quot;:false,&quot;manualOverride&quot;:{&quot;isManuallyOverridden&quot;:false,&quot;citeprocText&quot;:&quot;(Claessens et al., 2002)&quot;,&quot;manualOverrideText&quot;:&quot;&quot;},&quot;citationTag&quot;:&quot;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3239db02-9642-4968-9bb9-1c28699d4a4a&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citationID&quot;:&quot;MENDELEY_CITATION_742c571f-a0e6-41e0-969e-e36b36e4da26&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ba0df789-d802-4f55-bf29-fd464c446bc3&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3143abe7-928b-4e27-9a1a-950b3b8426f2&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b86b1f67-2f82-44ec-bb2b-98bad7d301ec&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c5b65b39-b791-4fd2-98c5-c6752af843b1&quot;,&quot;properties&quot;:{&quot;noteIndex&quot;:0,&quot;mode&quot;:&quot;composite&quot;},&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displayAs&quot;:&quot;composite&quot;,&quot;suppress-author&quot;:false,&quot;composite&quot;:true,&quot;author-only&quot;:false}]},{&quot;citationID&quot;:&quot;MENDELEY_CITATION_df210e96-1dc2-403f-bfde-1041b2c20b1f&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f2c4ea29-3964-42c4-97a0-38a5b8942854&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71eb7587-d3b1-4e6f-b71d-3e2e6f59164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17a6c1a1-564b-4448-8210-02e5b0b8c573&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f9082e3-f9cd-4ad0-9819-0f7dc4a3415f&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2c731a41-84fd-4a27-be26-43cdaf562f9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5780aa24-4d12-425f-a4d4-863a1e4c9acf&quot;,&quot;properties&quot;:{&quot;noteIndex&quot;:0,&quot;mode&quot;:&quot;composite&quot;},&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displayAs&quot;:&quot;composite&quot;,&quot;suppress-author&quot;:false,&quot;composite&quot;:true,&quot;author-only&quot;:false}]},{&quot;citationID&quot;:&quot;MENDELEY_CITATION_a4b438e4-5393-4979-9e43-a2ede3d4ffdb&quot;,&quot;properties&quot;:{&quot;noteIndex&quot;:0,&quot;mode&quot;:&quot;composite&quot;},&quot;isEdited&quot;:false,&quot;manualOverride&quot;:{&quot;isManuallyOverridden&quot;:false,&quot;citeprocText&quot;:&quot;Jayanti et al. (2023)&quot;,&quot;manualOverrideText&quot;:&quot;&quot;},&quot;citationTag&quot;:&quot;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displayAs&quot;:&quot;composite&quot;,&quot;suppress-author&quot;:false,&quot;composite&quot;:true,&quot;author-only&quot;:false}]},{&quot;citationID&quot;:&quot;MENDELEY_CITATION_6dfcf1fc-ff4d-41ad-9806-89538fe582a7&quot;,&quot;properties&quot;:{&quot;noteIndex&quot;:0,&quot;mode&quot;:&quot;composite&quot;},&quot;isEdited&quot;:false,&quot;manualOverride&quot;:{&quot;isManuallyOverridden&quot;:true,&quot;citeprocText&quot;:&quot;Dapingga S. P &amp;#38; Romli (2024)&quot;,&quot;manualOverrideText&quot;:&quot;Dapingga dan Romli (2024)&quot;},&quot;citationTag&quot;:&quot;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displayAs&quot;:&quot;composite&quot;,&quot;suppress-author&quot;:false,&quot;composite&quot;:true,&quot;author-only&quot;:false}]},{&quot;citationID&quot;:&quot;MENDELEY_CITATION_a61643c8-4288-4198-8b6a-fe34b76d911c&quot;,&quot;properties&quot;:{&quot;noteIndex&quot;:0,&quot;mode&quot;:&quot;composite&quot;},&quot;isEdited&quot;:false,&quot;manualOverride&quot;:{&quot;isManuallyOverridden&quot;:true,&quot;citeprocText&quot;:&quot;Nuzula &amp;#38; Maryanti (2025)&quot;,&quot;manualOverrideText&quot;:&quot;Nuzula dan Maryanti (2025)&quot;},&quot;citationTag&quot;:&quot;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displayAs&quot;:&quot;composite&quot;,&quot;suppress-author&quot;:false,&quot;composite&quot;:true,&quot;author-only&quot;:false}]},{&quot;citationID&quot;:&quot;MENDELEY_CITATION_08e9599a-3f20-440f-ae7d-ef82b274e9f6&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citationID&quot;:&quot;MENDELEY_CITATION_6211345f-6808-401f-938a-ccfb96613114&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citationID&quot;:&quot;MENDELEY_CITATION_b340b153-d26a-42bb-92ec-142dcffb2c4b&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ca3048e1-dc0a-4def-a271-447b68eab606&quot;,&quot;properties&quot;:{&quot;noteIndex&quot;:0,&quot;mode&quot;:&quot;composite&quot;},&quot;isEdited&quot;:false,&quot;manualOverride&quot;:{&quot;isManuallyOverridden&quot;:true,&quot;citeprocText&quot;:&quot;Adamolekun &amp;#38; Kyiu (2025)&quot;,&quot;manualOverrideText&quot;:&quot;Adamolekun dan Kyiu (2025)&quot;},&quot;citationTag&quot;:&quot;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quot;,&quot;citationItems&quot;:[{&quot;id&quot;:&quot;f1d0de59-dd36-3fcb-b3fd-65877f86f41e&quot;,&quot;itemData&quot;:{&quot;type&quot;:&quot;article-journal&quot;,&quot;id&quot;:&quot;f1d0de59-dd36-3fcb-b3fd-65877f86f41e&quot;,&quot;title&quot;:&quot;Corporate carbon footprint and market valuation of restructuring announcements&quot;,&quot;author&quot;:[{&quot;family&quot;:&quot;Adamolekun&quot;,&quot;given&quot;:&quot;Gbenga&quot;,&quot;parse-names&quot;:false,&quot;dropping-particle&quot;:&quot;&quot;,&quot;non-dropping-particle&quot;:&quot;&quot;},{&quot;family&quot;:&quot;Kyiu&quot;,&quot;given&quot;:&quot;Anthony&quot;,&quot;parse-names&quot;:false,&quot;dropping-particle&quot;:&quot;&quot;,&quot;non-dropping-particle&quot;:&quot;&quot;}],&quot;container-title&quot;:&quot;Review of Quantitative Finance and Accounting&quot;,&quot;DOI&quot;:&quot;10.1007/s11156-024-01315-y&quot;,&quot;ISSN&quot;:&quot;15737179&quot;,&quot;issued&quot;:{&quot;date-parts&quot;:[[2025,2,1]]},&quot;page&quot;:&quot;595-620&quot;,&quot;abstract&quot;:&quot;The call for greener and more sustainable corporate practices triggered a surge in corporate restructuring. In this study, we investigate the impact of carbon emissions on the market reaction to announcements of corporate restructuring activities. Using a sample of US firms, we find that investors discount the value of corporate restructuring announcements when firms have higher levels of carbon emissions. Our results indicate that emissions are negatively associated with cumulative abnormal returns (CAR), cumulative total returns (CTR), and buy and hold abnormal returns (BHAR) around announcements. This effect is more pronounced for firms with a lower risk of bankruptcy, those financially constrained, and those with lower growth opportunities. We also find that high emissions at announcements are negatively associated with post-restructuring financial and market performance. Overall, our results highlight the growing implications of firm-level carbon emissions for corporate market valuations, especially amongst firms undertaking restructuring.&quot;,&quot;publisher&quot;:&quot;Springer&quot;,&quot;issue&quot;:&quot;2&quot;,&quot;volume&quot;:&quot;64&quot;,&quot;container-title-short&quot;:&quot;&quot;},&quot;isTemporary&quot;:false,&quot;displayAs&quot;:&quot;composite&quot;,&quot;suppress-author&quot;:false,&quot;composite&quot;:true,&quot;author-only&quot;:false}]},{&quot;citationID&quot;:&quot;MENDELEY_CITATION_58617b57-ec31-4fbe-87d8-a83e514a77ae&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312dbcdf-1e2f-4596-b335-9624f15d0169&quot;,&quot;properties&quot;:{&quot;noteIndex&quot;:0,&quot;mode&quot;:&quot;composite&quot;},&quot;isEdited&quot;:false,&quot;manualOverride&quot;:{&quot;isManuallyOverridden&quot;:false,&quot;citeprocText&quot;:&quot;Nugrahani dan Yuniarti (2021)&quot;,&quot;manualOverrideText&quot;:&quot;&quot;},&quot;citationTag&quot;:&quot;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quot;,&quot;citationItems&quot;:[{&quot;id&quot;:&quot;4d78285a-d19c-3706-bf26-92ccf35ff2b2&quot;,&quot;itemData&quot;:{&quot;type&quot;:&quot;article-journal&quot;,&quot;id&quot;:&quot;4d78285a-d19c-3706-bf26-92ccf35ff2b2&quot;,&quot;title&quot;:&quot;PENGARUH BOARD GENDER, DEWAN KOMISARIS INDEPENDEN,\nKOMITE AUDIT DAN KEPEMILIKAN INSTITUSIONAL TERHADAP\nKINERJA KEUANGAN PERUSAHAAN\n(Studi Kasus pada Perusahaan Sub Sektor Bank yang Terdaftar di Bursa Efek\nIndonesia Periode 2013-2017)&quot;,&quot;author&quot;:[{&quot;family&quot;:&quot;Nugrahani dan Yuniarti&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c6fcd50e-548d-40f4-811e-9c48bac621a8&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612799d2-c829-410b-850e-96c2d38bac4a&quot;,&quot;properties&quot;:{&quot;noteIndex&quot;:0,&quot;mode&quot;:&quot;composite&quot;},&quot;isEdited&quot;:false,&quot;manualOverride&quot;:{&quot;isManuallyOverridden&quot;:false,&quot;citeprocText&quot;:&quot;Mastella et al. (2021)&quot;,&quot;manualOverrideText&quot;:&quot;&quot;},&quot;citationTag&quot;:&quot;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displayAs&quot;:&quot;composite&quot;,&quot;suppress-author&quot;:false,&quot;composite&quot;:true,&quot;author-only&quot;:false}]},{&quot;citationID&quot;:&quot;MENDELEY_CITATION_af998c31-ffd9-47a6-88de-5fc53ee296a5&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suppress-author&quot;:false,&quot;composite&quot;:false,&quot;author-only&quot;:false}]},{&quot;citationID&quot;:&quot;MENDELEY_CITATION_79029534-83b7-4718-a696-62f811587837&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suppress-author&quot;:false,&quot;composite&quot;:false,&quot;author-only&quot;:false}]},{&quot;citationID&quot;:&quot;MENDELEY_CITATION_955a1de2-3957-433f-b21f-13215359d50d&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f74c0077-8444-4dd3-8bc2-e6efed03fa2b&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bfbd59e1-21cb-444c-9c0c-9416ff71e390&quot;,&quot;properties&quot;:{&quot;noteIndex&quot;:0},&quot;isEdited&quot;:false,&quot;manualOverride&quot;:{&quot;isManuallyOverridden&quot;:false,&quot;citeprocText&quot;:&quot;(Ghozali, 2021)&quot;,&quot;manualOverrideText&quot;:&quot;&quot;},&quot;citationTag&quot;:&quot;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d57cbaa6-db0b-4b6c-a150-454257202997&quot;,&quot;properties&quot;:{&quot;noteIndex&quot;:0},&quot;isEdited&quot;:false,&quot;manualOverride&quot;:{&quot;isManuallyOverridden&quot;:false,&quot;citeprocText&quot;:&quot;(Ghozali, 2021)&quot;,&quot;manualOverrideText&quot;:&quot;&quot;},&quot;citationTag&quot;:&quot;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63891a5c-8d7f-45fa-9d42-1a547d86907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1b329b91-0c80-4b6e-971d-42564669e82c&quot;,&quot;properties&quot;:{&quot;noteIndex&quot;:0},&quot;isEdited&quot;:false,&quot;manualOverride&quot;:{&quot;isManuallyOverridden&quot;:false,&quot;citeprocText&quot;:&quot;(Ghozali, 2021)&quot;,&quot;manualOverrideText&quot;:&quot;&quot;},&quot;citationTag&quot;:&quot;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3aa38454-12c7-4cab-acef-ac434365bb5d&quot;,&quot;properties&quot;:{&quot;noteIndex&quot;:0},&quot;isEdited&quot;:false,&quot;manualOverride&quot;:{&quot;isManuallyOverridden&quot;:false,&quot;citeprocText&quot;:&quot;(Ghozali, 2021)&quot;,&quot;manualOverrideText&quot;:&quot;&quot;},&quot;citationTag&quot;:&quot;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b667687d-6a5e-41c7-9c06-76b6bafd67d9&quot;,&quot;properties&quot;:{&quot;noteIndex&quot;:0},&quot;isEdited&quot;:false,&quot;manualOverride&quot;:{&quot;isManuallyOverridden&quot;:true,&quot;citeprocText&quot;:&quot;(Bursa Efek Indonesia, 2024a)&quot;,&quot;manualOverrideText&quot;:&quot;(Bursa Efek Indonesia, 2024)&quot;},&quot;citationTag&quot;:&quot;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quot;,&quot;citationItems&quot;:[{&quot;id&quot;:&quot;0c228f78-72b5-3e84-bb8a-4bc8fcb2f488&quot;,&quot;itemData&quot;:{&quot;type&quot;:&quot;webpage&quot;,&quot;id&quot;:&quot;0c228f78-72b5-3e84-bb8a-4bc8fcb2f488&quot;,&quot;title&quot;:&quot;Daftar Saham&quot;,&quot;author&quot;:[{&quot;family&quot;:&quot;Bursa Efek Indonesia&quot;,&quot;given&quot;:&quot;&quot;,&quot;parse-names&quot;:false,&quot;dropping-particle&quot;:&quot;&quot;,&quot;non-dropping-particle&quot;:&quot;&quot;}],&quot;accessed&quot;:{&quot;date-parts&quot;:[[2026,6,9]]},&quot;URL&quot;:&quot;https://www.idx.co.id/id/data-pasar/data-saham/daftar-saham/&quot;,&quot;issued&quot;:{&quot;date-parts&quot;:[[2024]]},&quot;container-title-short&quot;:&quot;&quot;},&quot;isTemporary&quot;:false,&quot;suppress-author&quot;:false,&quot;composite&quot;:false,&quot;author-only&quot;:false}]},{&quot;citationID&quot;:&quot;MENDELEY_CITATION_2718b9d6-1524-426e-9210-e78fb9d6418c&quot;,&quot;properties&quot;:{&quot;noteIndex&quot;:0},&quot;isEdited&quot;:false,&quot;manualOverride&quot;:{&quot;isManuallyOverridden&quot;:false,&quot;citeprocText&quot;:&quot;(Otoritas Jasa Keuangan, 2015)&quot;,&quot;manualOverrideText&quot;:&quot;&quot;},&quot;citationTag&quot;:&quot;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ab8a28c8-4917-47e0-8d6c-6095433fe8f9&quot;,&quot;properties&quot;:{&quot;noteIndex&quot;:0,&quot;mode&quot;:&quot;composite&quot;},&quot;isEdited&quot;:false,&quot;manualOverride&quot;:{&quot;isManuallyOverridden&quot;:true,&quot;citeprocText&quot;:&quot;Gujarati D. N. &amp;#38; Porter (2009)&quot;,&quot;manualOverrideText&quot;:&quot;Gujarati dan Porter (2009)&quot;},&quot;citationTag&quot;:&quot;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quot;,&quot;citationItems&quot;:[{&quot;id&quot;:&quot;b597baa9-bf45-3a93-8b15-e0de38b1a624&quot;,&quot;itemData&quot;:{&quot;type&quot;:&quot;article-journal&quot;,&quot;id&quot;:&quot;b597baa9-bf45-3a93-8b15-e0de38b1a624&quot;,&quot;title&quot;:&quot;Basic Econometrics&quot;,&quot;author&quot;:[{&quot;family&quot;:&quot;Gujarati D. N. &amp; Porter&quot;,&quot;given&quot;:&quot;D. C.&quot;,&quot;parse-names&quot;:false,&quot;dropping-particle&quot;:&quot;&quot;,&quot;non-dropping-particle&quot;:&quot;&quot;}],&quot;issued&quot;:{&quot;date-parts&quot;:[[2009]]},&quot;container-title-short&quot;:&quot;&quot;},&quot;isTemporary&quot;:false,&quot;displayAs&quot;:&quot;composite&quot;,&quot;suppress-author&quot;:false,&quot;composite&quot;:true,&quot;author-only&quot;:false}]},{&quot;citationID&quot;:&quot;MENDELEY_CITATION_e62c59a8-4232-4ffa-b847-9f1c5483c3fb&quot;,&quot;properties&quot;:{&quot;noteIndex&quot;:0},&quot;isEdited&quot;:false,&quot;manualOverride&quot;:{&quot;isManuallyOverridden&quot;:true,&quot;citeprocText&quot;:&quot;(Wooldridge, 2021)&quot;,&quot;manualOverrideText&quot;:&quot;Wooldridge (2020)&quot;},&quot;citationTag&quot;:&quot;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quot;,&quot;citationItems&quot;:[{&quot;id&quot;:&quot;d05ac643-d1d3-3cc1-9330-0402c4132f1d&quot;,&quot;itemData&quot;:{&quot;type&quot;:&quot;book&quot;,&quot;id&quot;:&quot;d05ac643-d1d3-3cc1-9330-0402c4132f1d&quot;,&quot;title&quot;:&quot;Introductory econometrics : a modern approach&quot;,&quot;author&quot;:[{&quot;family&quot;:&quot;Wooldridge&quot;,&quot;given&quot;:&quot;Jeffrey M..&quot;,&quot;parse-names&quot;:false,&quot;dropping-particle&quot;:&quot;&quot;,&quot;non-dropping-particle&quot;:&quot;&quot;}],&quot;ISBN&quot;:&quot;9781337558860&quot;,&quot;issued&quot;:{&quot;date-parts&quot;:[[2021]]},&quot;number-of-pages&quot;:&quot;826&quot;,&quot;abstract&quot;:&quot;Seventh edition. Includes QR code. &quot;,&quot;publisher&quot;:&quot;Cengage&quot;,&quot;container-title-short&quot;:&quot;&quot;},&quot;isTemporary&quot;:false,&quot;suppress-author&quot;:false,&quot;composite&quot;:false,&quot;author-only&quot;:false}]},{&quot;citationID&quot;:&quot;MENDELEY_CITATION_67a0d49e-ee22-457f-9af4-b5efe3e71900&quot;,&quot;properties&quot;:{&quot;noteIndex&quot;:0},&quot;isEdited&quot;:false,&quot;manualOverride&quot;:{&quot;isManuallyOverridden&quot;:false,&quot;citeprocText&quot;:&quot;(Young et al., 2008)&quot;,&quot;manualOverrideText&quot;:&quot;&quot;},&quot;citationTag&quot;:&quot;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quot;,&quot;citationItems&quot;:[{&quot;id&quot;:&quot;befb68f4-903b-3733-bf34-d0c9b010a556&quot;,&quot;itemData&quot;:{&quot;type&quot;:&quot;report&quot;,&quot;id&quot;:&quot;befb68f4-903b-3733-bf34-d0c9b010a556&quot;,&quot;title&quot;:&quot;Review Paper Corporate Governance in Emerging Economies: A Review of the Principal-Principal Perspective&quot;,&quot;author&quot;:[{&quot;family&quot;:&quot;Young&quot;,&quot;given&quot;:&quot;Michael N&quot;,&quot;parse-names&quot;:false,&quot;dropping-particle&quot;:&quot;&quot;,&quot;non-dropping-particle&quot;:&quot;&quot;},{&quot;family&quot;:&quot;Peng&quot;,&quot;given&quot;:&quot;Mike W&quot;,&quot;parse-names&quot;:false,&quot;dropping-particle&quot;:&quot;&quot;,&quot;non-dropping-particle&quot;:&quot;&quot;},{&quot;family&quot;:&quot;Ahlstrom&quot;,&quot;given&quot;:&quot;David&quot;,&quot;parse-names&quot;:false,&quot;dropping-particle&quot;:&quot;&quot;,&quot;non-dropping-particle&quot;:&quot;&quot;},{&quot;family&quot;:&quot;Bruton&quot;,&quot;given&quot;:&quot;Garry D&quot;,&quot;parse-names&quot;:false,&quot;dropping-particle&quot;:&quot;&quot;,&quot;non-dropping-particle&quot;:&quot;&quot;},{&quot;family&quot;:&quot;Jiang&quot;,&quot;given&quot;:&quot;Yi&quot;,&quot;parse-names&quot;:false,&quot;dropping-particle&quot;:&quot;&quot;,&quot;non-dropping-particle&quot;:&quot;&quot;}],&quot;issued&quot;:{&quot;date-parts&quot;:[[2008]]},&quot;container-title-short&quot;:&quot;&quot;},&quot;isTemporary&quot;:false,&quot;suppress-author&quot;:false,&quot;composite&quot;:false,&quot;author-only&quot;:false}]},{&quot;citationID&quot;:&quot;MENDELEY_CITATION_773f15ea-5936-4267-93a1-a94afd1ea7e2&quot;,&quot;properties&quot;:{&quot;noteIndex&quot;:0,&quot;mode&quot;:&quot;composite&quot;},&quot;isEdited&quot;:false,&quot;manualOverride&quot;:{&quot;isManuallyOverridden&quot;:false,&quot;citeprocText&quot;:&quot;Claessens et al. (2002)&quot;,&quot;manualOverrideText&quot;:&quot;&quot;},&quot;citationTag&quot;:&quot;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displayAs&quot;:&quot;composite&quot;,&quot;suppress-author&quot;:false,&quot;composite&quot;:true,&quot;author-only&quot;:false}]},{&quot;citationID&quot;:&quot;MENDELEY_CITATION_3477fddc-3e16-495f-8b98-bd5803dd56ac&quot;,&quot;properties&quot;:{&quot;noteIndex&quot;:0},&quot;isEdited&quot;:false,&quot;manualOverride&quot;:{&quot;isManuallyOverridden&quot;:true,&quot;citeprocText&quot;:&quot;(&lt;i&gt;Principles for the Supervision of Financial Conglomerates&lt;/i&gt;, n.d.)&quot;,&quot;manualOverrideText&quot;:&quot;Joint Forum (2012)&quot;},&quot;citationTag&quot;:&quot;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quot;,&quot;citationItems&quot;:[{&quot;id&quot;:&quot;eb079edd-c707-3948-b23f-92bc74fb8156&quot;,&quot;itemData&quot;:{&quot;type&quot;:&quot;webpage&quot;,&quot;id&quot;:&quot;eb079edd-c707-3948-b23f-92bc74fb8156&quot;,&quot;title&quot;:&quot;Principles for the supervision of financial conglomerates&quot;,&quot;accessed&quot;:{&quot;date-parts&quot;:[[2026,7,29]]},&quot;URL&quot;:&quot;https://www.bis.org/publ/joint29.htm&quot;,&quot;container-title-short&quot;:&quot;&quot;},&quot;isTemporary&quot;:false,&quot;suppress-author&quot;:false,&quot;composite&quot;:false,&quot;author-only&quot;:false}]},{&quot;citationID&quot;:&quot;MENDELEY_CITATION_fcfe0987-5240-4da5-9f56-1fa8f1ca7d47&quot;,&quot;properties&quot;:{&quot;noteIndex&quot;:0},&quot;isEdited&quot;:false,&quot;manualOverride&quot;:{&quot;isManuallyOverridden&quot;:true,&quot;citeprocText&quot;:&quot;(Development, 2009)&quot;,&quot;manualOverrideText&quot;:&quot;(OECD, 2009)&quot;},&quot;citationTag&quot;:&quot;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quot;,&quot;citationItems&quot;:[{&quot;id&quot;:&quot;60c750a7-be35-3208-a776-6b70f1aff403&quot;,&quot;itemData&quot;:{&quot;type&quot;:&quot;book&quot;,&quot;id&quot;:&quot;60c750a7-be35-3208-a776-6b70f1aff403&quot;,&quot;title&quot;:&quot;Guide on fighting abusive related party transactions in Asia&quot;,&quot;author&quot;:[{&quot;family&quot;:&quot;Development&quot;,&quot;given&quot;:&quot;Organisation for Economic Co-operation and&quot;,&quot;parse-names&quot;:false,&quot;dropping-particle&quot;:&quot;&quot;,&quot;non-dropping-particle&quot;:&quot;&quot;}],&quot;ISBN&quot;:&quot;9264933158&quot;,&quot;issued&quot;:{&quot;date-parts&quot;:[[2009]]},&quot;publisher&quot;:&quot;OECD Publishing&quot;,&quot;container-title-short&quot;:&quot;&quot;},&quot;isTemporary&quot;:false,&quot;suppress-author&quot;:false,&quot;composite&quot;:false,&quot;author-only&quot;:false}]},{&quot;citationID&quot;:&quot;MENDELEY_CITATION_2ead7825-b1c1-4a2c-9597-4f226e4fe702&quot;,&quot;properties&quot;:{&quot;noteIndex&quot;:0},&quot;isEdited&quot;:false,&quot;manualOverride&quot;:{&quot;isManuallyOverridden&quot;:true,&quot;citeprocText&quot;:&quot;(&lt;i&gt;Corporate Governance Principles for Banks&lt;/i&gt;, n.d.)&quot;,&quot;manualOverrideText&quot;:&quot;Basel Committee on Banking Supervision, 2015&quot;},&quot;citationTag&quot;:&quot;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quot;,&quot;citationItems&quot;:[{&quot;id&quot;:&quot;4a5bd0da-42da-313c-a6bb-caa83cd9ed16&quot;,&quot;itemData&quot;:{&quot;type&quot;:&quot;webpage&quot;,&quot;id&quot;:&quot;4a5bd0da-42da-313c-a6bb-caa83cd9ed16&quot;,&quot;title&quot;:&quot;Corporate governance principles for banks&quot;,&quot;accessed&quot;:{&quot;date-parts&quot;:[[2026,7,29]]},&quot;URL&quot;:&quot;https://www.bis.org/bcbs/publ/d328.htm&quot;,&quot;container-title-short&quot;:&quot;&quot;},&quot;isTemporary&quot;:false,&quot;suppress-author&quot;:false,&quot;composite&quot;:false,&quot;author-only&quot;:false}]},{&quot;citationID&quot;:&quot;MENDELEY_CITATION_df2369c0-5343-4a4c-b835-be4c17a14e28&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suppress-author&quot;:false,&quot;composite&quot;:false,&quot;author-only&quot;:false}]},{&quot;citationID&quot;:&quot;MENDELEY_CITATION_cd9be103-31cf-4cbc-8711-acce68e710ad&quot;,&quot;properties&quot;:{&quot;noteIndex&quot;:0},&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b2db11b8-b206-48f9-8353-95f01607e87a&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04dc84aa-bad4-48bd-acb5-1329fb6441ef&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7d75d507-f38c-41a9-94bb-b4d27100cdea&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quot;,&quot;citationItems&quot;:[{&quot;id&quot;:&quot;14d92e73-150c-3eda-b18b-b9423df73ca8&quot;,&quot;itemData&quot;:{&quot;type&quot;:&quot;report&quot;,&quot;id&quot;:&quot;14d92e73-150c-3eda-b18b-b9423df73ca8&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container-title-short&quot;:&quot;&quot;},&quot;isTemporary&quot;:false}]},{&quot;citationID&quot;:&quot;MENDELEY_CITATION_8cfd450f-52bd-482e-8dcb-2d2442461d3e&quot;,&quot;properties&quot;:{&quot;noteIndex&quot;:0},&quot;isEdited&quot;:false,&quot;manualOverride&quot;:{&quot;isManuallyOverridden&quot;:true,&quot;citeprocText&quot;:&quot;(Abdurrohim et al., 2026)&quot;,&quot;manualOverrideText&quot;:&quot;Abdurrohim et al. (2026)&quot;},&quot;citationTag&quot;:&quot;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quot;,&quot;citationItems&quot;:[{&quot;id&quot;:&quot;5a082bea-77f3-3dd8-bfb1-f0cdf7d75cd4&quot;,&quot;itemData&quot;:{&quot;type&quot;:&quot;report&quot;,&quot;id&quot;:&quot;5a082bea-77f3-3dd8-bfb1-f0cdf7d75cd4&quot;,&quot;title&quot;:&quot;Analisis Dewan Komisaris, Komite Audit, dan Ukuran Perusahaan terhadap Nilai Perusahaan dengan Profitabilitas sebagai Variabel Mediasi&quot;,&quot;author&quot;:[{&quot;family&quot;:&quot;Abdurrohim&quot;,&quot;given&quot;:&quot;&quot;,&quot;parse-names&quot;:false,&quot;dropping-particle&quot;:&quot;&quot;,&quot;non-dropping-particle&quot;:&quot;&quot;},{&quot;family&quot;:&quot;Rahayu&quot;,&quot;given&quot;:&quot;Sri&quot;,&quot;parse-names&quot;:false,&quot;dropping-particle&quot;:&quot;&quot;,&quot;non-dropping-particle&quot;:&quot;&quot;},{&quot;family&quot;:&quot;Herawaty&quot;,&quot;given&quot;:&quot;Netty&quot;,&quot;parse-names&quot;:false,&quot;dropping-particle&quot;:&quot;&quot;,&quot;non-dropping-particle&quot;:&quot;&quot;}],&quot;issued&quot;:{&quot;date-parts&quot;:[[2026]]},&quot;container-title-short&quot;:&quot;&quot;},&quot;isTemporary&quot;:false}]},{&quot;citationID&quot;:&quot;MENDELEY_CITATION_11cbfe50-8c8d-46ef-8484-ba73b6052853&quot;,&quot;properties&quot;:{&quot;noteIndex&quot;:0},&quot;isEdited&quot;:false,&quot;manualOverride&quot;:{&quot;isManuallyOverridden&quot;:true,&quot;citeprocText&quot;:&quot;(Syariati &amp;#38; Purwaningsih, 2024)&quot;,&quot;manualOverrideText&quot;:&quot;Syariati dan Purwaningsih (2024)&quot;},&quot;citationTag&quot;:&quot;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quot;,&quot;citationItems&quot;:[{&quot;id&quot;:&quot;20dc6a06-92e1-31d3-95e6-76b776603c83&quot;,&quot;itemData&quot;:{&quot;type&quot;:&quot;article-journal&quot;,&quot;id&quot;:&quot;20dc6a06-92e1-31d3-95e6-76b776603c83&quot;,&quot;title&quot;:&quot;Pengaruh Karakteristik Komite Audit Terhadap Kinerja Perusahaan&quot;,&quot;author&quot;:[{&quot;family&quot;:&quot;Syariati&quot;,&quot;given&quot;:&quot;A&quot;,&quot;parse-names&quot;:false,&quot;dropping-particle&quot;:&quot;&quot;,&quot;non-dropping-particle&quot;:&quot;&quot;},{&quot;family&quot;:&quot;Purwaningsih&quot;,&quot;given&quot;:&quot;E&quot;,&quot;parse-names&quot;:false,&quot;dropping-particle&quot;:&quot;&quot;,&quot;non-dropping-particle&quot;:&quot;&quot;}],&quot;container-title&quot;:&quot;Journal of Economic, Bussines and Accounting (COSTING)&quot;,&quot;issued&quot;:{&quot;date-parts&quot;:[[2024]]},&quot;page&quot;:&quot;1676-1685&quot;,&quot;issue&quot;:&quot;5&quot;,&quot;volume&quot;:&quot;7&quot;,&quot;container-title-short&quot;:&quot;&quot;},&quot;isTemporary&quot;:false}]},{&quot;citationID&quot;:&quot;MENDELEY_CITATION_a7a3aa08-c78d-47a6-b983-8466b1ebf8c6&quot;,&quot;properties&quot;:{&quot;noteIndex&quot;:0},&quot;isEdited&quot;:false,&quot;manualOverride&quot;:{&quot;isManuallyOverridden&quot;:true,&quot;citeprocText&quot;:&quot;(Ikhyanuddin, 2021)&quot;,&quot;manualOverrideText&quot;:&quot;Ikhyanuddin (2021)&quot;},&quot;citationTag&quot;:&quot;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quot;,&quot;citationItems&quot;:[{&quot;id&quot;:&quot;12b8b98a-f8d4-3c26-b1c1-e8e113e2d791&quot;,&quot;itemData&quot;:{&quot;type&quot;:&quot;report&quot;,&quot;id&quot;:&quot;12b8b98a-f8d4-3c26-b1c1-e8e113e2d791&quot;,&quot;title&quot;:&quot;PENGARUH BOARD DIVERSITY TERHADAP NILAI PERUSAHAAN (STUDI PADA PERUSAHAAN MANUFAKTUR YANG TERDAFTAR DI BURSA EFEK INDONESIA TAHUN 2017-2018) THE INFLUENCE OF BOARD DIVERSITY ON COMPANY VALUE (STUDY ON MANUFACTURING COMPANIES LISTED ON INDONESIA STOCK EXCHANGE IN 2017-2018)&quot;,&quot;author&quot;:[{&quot;family&quot;:&quot;Ikhyanuddin&quot;,&quot;given&quot;:&quot;I.&quot;,&quot;parse-names&quot;:false,&quot;dropping-particle&quot;:&quot;&quot;,&quot;non-dropping-particle&quot;:&quot;&quot;}],&quot;URL&quot;:&quot;www.sahamok.com,&quot;,&quot;issued&quot;:{&quot;date-parts&quot;:[[2021]]},&quot;container-title-short&quot;:&quot;&quot;},&quot;isTemporary&quot;:false}]},{&quot;citationID&quot;:&quot;MENDELEY_CITATION_f4525f59-7914-4311-8217-d624729d987b&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766aed75-3214-4096-a14b-5dc4bdec1ac1&quot;,&quot;properties&quot;:{&quot;noteIndex&quot;:0,&quot;mode&quot;:&quot;composite&quot;},&quot;isEdited&quot;:false,&quot;manualOverride&quot;:{&quot;isManuallyOverridden&quot;:false,&quot;citeprocText&quot;:&quot;Eliya &amp;#38; Suprapto (2022)&quot;,&quot;manualOverrideText&quot;:&quot;&quot;},&quot;citationTag&quot;:&quot;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quot;,&quot;citationItems&quot;:[{&quot;id&quot;:&quot;653d04c9-7517-3d44-9d8a-033011b21be6&quot;,&quot;itemData&quot;:{&quot;type&quot;:&quot;article-journal&quot;,&quot;id&quot;:&quot;653d04c9-7517-3d44-9d8a-033011b21be6&quot;,&quot;title&quot;:&quot;Pengaruh keberagaman gender terhadap kinerja keuangan pada perusahaan manufaktur barang konsumsi publik di Indonesia&quot;,&quot;author&quot;:[{&quot;family&quot;:&quot;Eliya&quot;,&quot;given&quot;:&quot;Sartika&quot;,&quot;parse-names&quot;:false,&quot;dropping-particle&quot;:&quot;&quot;,&quot;non-dropping-particle&quot;:&quot;&quot;},{&quot;family&quot;:&quot;Suprapto&quot;,&quot;given&quot;:&quot;Yandi&quot;,&quot;parse-names&quot;:false,&quot;dropping-particle&quot;:&quot;&quot;,&quot;non-dropping-particle&quot;:&quot;&quot;}],&quot;container-title&quot;:&quot;SEIKO: Journal of Management &amp; Business&quot;,&quot;issued&quot;:{&quot;date-parts&quot;:[[2022]]},&quot;page&quot;:&quot;23-30&quot;,&quot;issue&quot;:&quot;2&quot;,&quot;volume&quot;:&quot;5&quot;,&quot;container-title-short&quot;:&quot;&quot;},&quot;isTemporary&quot;:false,&quot;displayAs&quot;:&quot;composite&quot;,&quot;suppress-author&quot;:false,&quot;composite&quot;:true,&quot;author-only&quot;:false}]},{&quot;citationID&quot;:&quot;MENDELEY_CITATION_e0e54d16-e7a6-4c90-aa11-ae6cec83ffbe&quot;,&quot;properties&quot;:{&quot;noteIndex&quot;:0},&quot;isEdited&quot;:false,&quot;manualOverride&quot;:{&quot;isManuallyOverridden&quot;:true,&quot;citeprocText&quot;:&quot;(Rompis et al., 2018)&quot;,&quot;manualOverrideText&quot;:&quot;Rompis et al. (2018),&quot;},&quot;citationTag&quot;:&quot;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quot;,&quot;citationItems&quot;:[{&quot;id&quot;:&quot;02689bf0-84dc-395b-ba7e-395b78b5214a&quot;,&quot;itemData&quot;:{&quot;type&quot;:&quot;article-journal&quot;,&quot;id&quot;:&quot;02689bf0-84dc-395b-ba7e-395b78b5214a&quot;,&quot;title&quot;:&quot;Pengaruh ukuran dewan, keberagaman usia dan keberagaman gender terhadap kinerja keuangan bank pembangunan daerah di seluruh Indonesia Buku 2 Tahun 2014-2016&quot;,&quot;author&quot;:[{&quot;family&quot;:&quot;Rompis&quot;,&quot;given&quot;:&quot;Noval Krisander&quot;,&quot;parse-names&quot;:false,&quot;dropping-particle&quot;:&quot;&quot;,&quot;non-dropping-particle&quot;:&quot;&quot;},{&quot;family&quot;:&quot;Worang&quot;,&quot;given&quot;:&quot;Frederik G&quot;,&quot;parse-names&quot;:false,&quot;dropping-particle&quot;:&quot;&quot;,&quot;non-dropping-particle&quot;:&quot;&quot;},{&quot;family&quot;:&quot;Tulung&quot;,&quot;given&quot;:&quot;Joy Elly&quot;,&quot;parse-names&quot;:false,&quot;dropping-particle&quot;:&quot;&quot;,&quot;non-dropping-particle&quot;:&quot;&quot;}],&quot;container-title&quot;:&quot;Jurnal EMBA&quot;,&quot;issued&quot;:{&quot;date-parts&quot;:[[2018]]},&quot;page&quot;:&quot;2628-2637&quot;,&quot;issue&quot;:&quot;4&quot;,&quot;volume&quot;:&quot;6&quot;,&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A962D-144A-4E25-95B0-706EE188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Viandra Saputra</dc:creator>
  <cp:lastModifiedBy>Perpus</cp:lastModifiedBy>
  <cp:revision>3</cp:revision>
  <dcterms:created xsi:type="dcterms:W3CDTF">2026-07-31T00:48:00Z</dcterms:created>
  <dcterms:modified xsi:type="dcterms:W3CDTF">2026-07-31T03:01:00Z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17a8115e-fe4e-4ed3-877f-5dec4dc5d95a</vt:lpwstr>
  </property>
  <property fmtid="{D5CDD505-2E9C-101B-9397-08002B2CF9AE}" pid="3" name="ICV">
    <vt:lpwstr>7CAA372E3DEF48218AC0042A1D14B81A_13</vt:lpwstr>
  </property>
  <property fmtid="{D5CDD505-2E9C-101B-9397-08002B2CF9AE}" pid="4" name="KSOProductBuildVer">
    <vt:lpwstr>1033-12.1.0.26880</vt:lpwstr>
  </property>
  <property fmtid="{D5CDD505-2E9C-101B-9397-08002B2CF9AE}" pid="5" name="KSOTemplateDocerSaveRecord">
    <vt:lpwstr>eyJoZGlkIjoiYjk5ODM0YmMxOWJiYWQyNDU4MGIzYWRmYTA0ZmI5NDciLCJ1c2VySWQiOiI5Nzk0NzM3OTM2OTMifQ==</vt:lpwstr>
  </property>
</Properties>
</file>