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2A6B6AF" w14:textId="77777777" w:rsidR="001C5328" w:rsidRDefault="001C5328" w:rsidP="001C5328">
      <w:pPr>
        <w:spacing w:line="480" w:lineRule="auto"/>
        <w:jc w:val="center"/>
        <w:rPr>
          <w:rFonts w:cs="Times New Roman"/>
          <w:b/>
          <w:bCs/>
        </w:rPr>
      </w:pPr>
      <w:r>
        <w:rPr>
          <w:rFonts w:cs="Times New Roman"/>
          <w:b/>
          <w:bCs/>
        </w:rPr>
        <w:t xml:space="preserve">CHAPTER II </w:t>
      </w:r>
      <w:r>
        <w:rPr>
          <w:rFonts w:cs="Times New Roman"/>
          <w:b/>
          <w:bCs/>
        </w:rPr>
        <w:br/>
      </w:r>
      <w:r w:rsidRPr="001E094B">
        <w:rPr>
          <w:rFonts w:cs="Times New Roman"/>
          <w:b/>
          <w:bCs/>
        </w:rPr>
        <w:t>DESCRIPTION OF RESEARCH OBJECT</w:t>
      </w:r>
    </w:p>
    <w:p w14:paraId="70BB0BCC" w14:textId="77777777" w:rsidR="001C5328" w:rsidRDefault="001C5328" w:rsidP="001C5328">
      <w:pPr>
        <w:spacing w:line="480" w:lineRule="auto"/>
        <w:jc w:val="center"/>
        <w:rPr>
          <w:rFonts w:cs="Times New Roman"/>
          <w:b/>
          <w:bCs/>
        </w:rPr>
      </w:pPr>
    </w:p>
    <w:p w14:paraId="52C0821A" w14:textId="77777777" w:rsidR="001C5328" w:rsidRDefault="001C5328" w:rsidP="001C5328">
      <w:pPr>
        <w:spacing w:line="480" w:lineRule="auto"/>
        <w:rPr>
          <w:rFonts w:cs="Times New Roman"/>
          <w:b/>
          <w:bCs/>
        </w:rPr>
      </w:pPr>
      <w:r>
        <w:rPr>
          <w:rFonts w:cs="Times New Roman"/>
          <w:b/>
          <w:bCs/>
        </w:rPr>
        <w:t xml:space="preserve">2.1 </w:t>
      </w:r>
      <w:proofErr w:type="spellStart"/>
      <w:r>
        <w:rPr>
          <w:rFonts w:cs="Times New Roman"/>
          <w:b/>
          <w:bCs/>
        </w:rPr>
        <w:t>Sukkhacitta</w:t>
      </w:r>
      <w:proofErr w:type="spellEnd"/>
      <w:r>
        <w:rPr>
          <w:rFonts w:cs="Times New Roman"/>
          <w:b/>
          <w:bCs/>
        </w:rPr>
        <w:t xml:space="preserve"> Brand</w:t>
      </w:r>
    </w:p>
    <w:p w14:paraId="3E4BF5FD" w14:textId="77777777" w:rsidR="001C5328" w:rsidRPr="00A33513" w:rsidRDefault="001C5328" w:rsidP="001C5328">
      <w:pPr>
        <w:spacing w:line="480" w:lineRule="auto"/>
        <w:ind w:firstLine="720"/>
        <w:jc w:val="both"/>
        <w:rPr>
          <w:rFonts w:cs="Times New Roman"/>
        </w:rPr>
      </w:pPr>
      <w:proofErr w:type="spellStart"/>
      <w:r w:rsidRPr="00A33513">
        <w:rPr>
          <w:rFonts w:cs="Times New Roman"/>
        </w:rPr>
        <w:t>SukkhaCitta</w:t>
      </w:r>
      <w:proofErr w:type="spellEnd"/>
      <w:r w:rsidRPr="00A33513">
        <w:rPr>
          <w:rFonts w:cs="Times New Roman"/>
        </w:rPr>
        <w:t xml:space="preserve"> is an Indonesian sustainable fashion brand founded in 2016 by Denica Riadini-Flesch, who serves as the Founder and Chief Executive Officer of the company. The brand was established to create a more responsible fashion system by connecting consumers with women artisans, farmers, and craft communities in rural areas of Indonesia. </w:t>
      </w:r>
      <w:proofErr w:type="spellStart"/>
      <w:r w:rsidRPr="00A33513">
        <w:rPr>
          <w:rFonts w:cs="Times New Roman"/>
        </w:rPr>
        <w:t>SukkhaCitta</w:t>
      </w:r>
      <w:proofErr w:type="spellEnd"/>
      <w:r w:rsidRPr="00A33513">
        <w:rPr>
          <w:rFonts w:cs="Times New Roman"/>
        </w:rPr>
        <w:t xml:space="preserve"> positions itself as a regenerative fashion brand through its farm-to-closet approach, which emphasizes traceability from raw materials to finished garments.</w:t>
      </w:r>
    </w:p>
    <w:p w14:paraId="0328BCE3" w14:textId="77777777" w:rsidR="001C5328" w:rsidRPr="00A33513" w:rsidRDefault="001C5328" w:rsidP="001C5328">
      <w:pPr>
        <w:spacing w:line="480" w:lineRule="auto"/>
        <w:ind w:firstLine="720"/>
        <w:jc w:val="both"/>
        <w:rPr>
          <w:rFonts w:cs="Times New Roman"/>
        </w:rPr>
      </w:pPr>
      <w:r w:rsidRPr="00A33513">
        <w:rPr>
          <w:rFonts w:cs="Times New Roman"/>
        </w:rPr>
        <w:t xml:space="preserve">Unlike conventional fashion brands that commonly rely on mass production, </w:t>
      </w:r>
      <w:proofErr w:type="spellStart"/>
      <w:r w:rsidRPr="00A33513">
        <w:rPr>
          <w:rFonts w:cs="Times New Roman"/>
        </w:rPr>
        <w:t>SukkhaCitta</w:t>
      </w:r>
      <w:proofErr w:type="spellEnd"/>
      <w:r w:rsidRPr="00A33513">
        <w:rPr>
          <w:rFonts w:cs="Times New Roman"/>
        </w:rPr>
        <w:t xml:space="preserve"> emphasizes handmade production, heritage craftsmanship, natural materials, and social impact. Its products are created by women artisans, referred to by the brand as </w:t>
      </w:r>
      <w:proofErr w:type="spellStart"/>
      <w:r w:rsidRPr="00A33513">
        <w:rPr>
          <w:rFonts w:cs="Times New Roman"/>
          <w:i/>
          <w:iCs/>
        </w:rPr>
        <w:t>Ibus</w:t>
      </w:r>
      <w:proofErr w:type="spellEnd"/>
      <w:r w:rsidRPr="00A33513">
        <w:rPr>
          <w:rFonts w:cs="Times New Roman"/>
        </w:rPr>
        <w:t xml:space="preserve">, using traditional techniques and locally rooted knowledge. The brand also incorporates regenerative farming practices, particularly through the </w:t>
      </w:r>
      <w:proofErr w:type="spellStart"/>
      <w:r w:rsidRPr="00A33513">
        <w:rPr>
          <w:rFonts w:cs="Times New Roman"/>
          <w:i/>
          <w:iCs/>
        </w:rPr>
        <w:t>Tumpang</w:t>
      </w:r>
      <w:proofErr w:type="spellEnd"/>
      <w:r w:rsidRPr="00A33513">
        <w:rPr>
          <w:rFonts w:cs="Times New Roman"/>
          <w:i/>
          <w:iCs/>
        </w:rPr>
        <w:t xml:space="preserve"> Sari</w:t>
      </w:r>
      <w:r w:rsidRPr="00A33513">
        <w:rPr>
          <w:rFonts w:cs="Times New Roman"/>
        </w:rPr>
        <w:t xml:space="preserve"> approach, which is intended to restore soil health, improve biodiversity, and support sustainable livelihoods for smallholder farmers.</w:t>
      </w:r>
    </w:p>
    <w:p w14:paraId="4CE2F900" w14:textId="77777777" w:rsidR="001C5328" w:rsidRPr="00A33513" w:rsidRDefault="001C5328" w:rsidP="001C5328">
      <w:pPr>
        <w:spacing w:line="480" w:lineRule="auto"/>
        <w:ind w:firstLine="720"/>
        <w:jc w:val="both"/>
        <w:rPr>
          <w:rFonts w:cs="Times New Roman"/>
        </w:rPr>
      </w:pPr>
      <w:proofErr w:type="spellStart"/>
      <w:r w:rsidRPr="00A33513">
        <w:rPr>
          <w:rFonts w:cs="Times New Roman"/>
        </w:rPr>
        <w:t>SukkhaCitta</w:t>
      </w:r>
      <w:proofErr w:type="spellEnd"/>
      <w:r w:rsidRPr="00A33513">
        <w:rPr>
          <w:rFonts w:cs="Times New Roman"/>
        </w:rPr>
        <w:t xml:space="preserve"> uses plant-based fibres, natural dyes, handwoven fabrics, and artisanal production processes in its collections. The brand’s sustainability concept is not limited to product materials but also includes environmental responsibility, artisan empowerment, traceability, and circularity. In addition, </w:t>
      </w:r>
      <w:proofErr w:type="spellStart"/>
      <w:r w:rsidRPr="00A33513">
        <w:rPr>
          <w:rFonts w:cs="Times New Roman"/>
        </w:rPr>
        <w:t>SukkhaCitta</w:t>
      </w:r>
      <w:proofErr w:type="spellEnd"/>
      <w:r w:rsidRPr="00A33513">
        <w:rPr>
          <w:rFonts w:cs="Times New Roman"/>
        </w:rPr>
        <w:t xml:space="preserve"> provides lifetime </w:t>
      </w:r>
      <w:r w:rsidRPr="00A33513">
        <w:rPr>
          <w:rFonts w:cs="Times New Roman"/>
        </w:rPr>
        <w:lastRenderedPageBreak/>
        <w:t>repair and redye services to encourage consumers to extend the use of their garments rather than dispose of them prematurely.</w:t>
      </w:r>
    </w:p>
    <w:p w14:paraId="3A77591B" w14:textId="77777777" w:rsidR="001C5328" w:rsidRDefault="001C5328" w:rsidP="001C5328">
      <w:pPr>
        <w:spacing w:line="480" w:lineRule="auto"/>
        <w:ind w:firstLine="720"/>
        <w:jc w:val="both"/>
        <w:rPr>
          <w:rFonts w:cs="Times New Roman"/>
        </w:rPr>
      </w:pPr>
      <w:r w:rsidRPr="00A33513">
        <w:rPr>
          <w:rFonts w:cs="Times New Roman"/>
        </w:rPr>
        <w:t xml:space="preserve">This positioning makes </w:t>
      </w:r>
      <w:proofErr w:type="spellStart"/>
      <w:r w:rsidRPr="00A33513">
        <w:rPr>
          <w:rFonts w:cs="Times New Roman"/>
        </w:rPr>
        <w:t>SukkhaCitta</w:t>
      </w:r>
      <w:proofErr w:type="spellEnd"/>
      <w:r w:rsidRPr="00A33513">
        <w:rPr>
          <w:rFonts w:cs="Times New Roman"/>
        </w:rPr>
        <w:t xml:space="preserve"> relevant as the research object of this study. Its business model combines sustainability-oriented marketing activities with a distinctive brand identity. Therefore, Green Marketing and Brand Image are considered relevant variables for explaining consumers’ Purchase Decisions toward </w:t>
      </w:r>
      <w:proofErr w:type="spellStart"/>
      <w:r w:rsidRPr="00A33513">
        <w:rPr>
          <w:rFonts w:cs="Times New Roman"/>
        </w:rPr>
        <w:t>Sukkhacitta</w:t>
      </w:r>
      <w:proofErr w:type="spellEnd"/>
      <w:r w:rsidRPr="00A33513">
        <w:rPr>
          <w:rFonts w:cs="Times New Roman"/>
        </w:rPr>
        <w:t xml:space="preserve"> products.</w:t>
      </w:r>
    </w:p>
    <w:p w14:paraId="0FA24511" w14:textId="77777777" w:rsidR="001C5328" w:rsidRDefault="001C5328" w:rsidP="001C5328">
      <w:pPr>
        <w:keepNext/>
        <w:spacing w:line="480" w:lineRule="auto"/>
        <w:jc w:val="center"/>
      </w:pPr>
      <w:r>
        <w:rPr>
          <w:noProof/>
        </w:rPr>
        <w:drawing>
          <wp:inline distT="0" distB="0" distL="0" distR="0" wp14:anchorId="66545B5E" wp14:editId="4D420355">
            <wp:extent cx="3543300" cy="2125980"/>
            <wp:effectExtent l="19050" t="19050" r="19050" b="26670"/>
            <wp:docPr id="1479241607" name="Picture 2" descr="SukkhaCit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kkhaCitt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43300" cy="2125980"/>
                    </a:xfrm>
                    <a:prstGeom prst="rect">
                      <a:avLst/>
                    </a:prstGeom>
                    <a:noFill/>
                    <a:ln>
                      <a:solidFill>
                        <a:schemeClr val="tx1"/>
                      </a:solidFill>
                    </a:ln>
                  </pic:spPr>
                </pic:pic>
              </a:graphicData>
            </a:graphic>
          </wp:inline>
        </w:drawing>
      </w:r>
    </w:p>
    <w:p w14:paraId="5F405200" w14:textId="77777777" w:rsidR="001C5328" w:rsidRDefault="001C5328" w:rsidP="001C5328">
      <w:pPr>
        <w:pStyle w:val="Caption"/>
        <w:jc w:val="center"/>
      </w:pPr>
      <w:r>
        <w:t xml:space="preserve">Figure 2. </w:t>
      </w:r>
      <w:r>
        <w:fldChar w:fldCharType="begin"/>
      </w:r>
      <w:r>
        <w:instrText xml:space="preserve"> SEQ Figure_2. \* ARABIC </w:instrText>
      </w:r>
      <w:r>
        <w:fldChar w:fldCharType="separate"/>
      </w:r>
      <w:r>
        <w:rPr>
          <w:noProof/>
        </w:rPr>
        <w:t>1</w:t>
      </w:r>
      <w:r>
        <w:rPr>
          <w:noProof/>
        </w:rPr>
        <w:fldChar w:fldCharType="end"/>
      </w:r>
      <w:r>
        <w:t xml:space="preserve"> </w:t>
      </w:r>
      <w:r w:rsidRPr="00331EE5">
        <w:t>Sukkhacitta’s Logo</w:t>
      </w:r>
    </w:p>
    <w:p w14:paraId="4196A603" w14:textId="77777777" w:rsidR="001C5328" w:rsidRPr="00A33513" w:rsidRDefault="001C5328" w:rsidP="001C5328">
      <w:pPr>
        <w:spacing w:line="480" w:lineRule="auto"/>
        <w:ind w:firstLine="720"/>
        <w:jc w:val="both"/>
      </w:pPr>
      <w:r w:rsidRPr="00A33513">
        <w:t>SukkhaCitta’s official materials describe its model as artisan-made regenerative fashion, supported by a farm-to-closet supply chain, plant-based materials and dyes, and women’s empowerment.</w:t>
      </w:r>
    </w:p>
    <w:p w14:paraId="4B6B9D07" w14:textId="77777777" w:rsidR="001C5328" w:rsidRDefault="001C5328" w:rsidP="001C5328">
      <w:pPr>
        <w:pStyle w:val="Caption"/>
        <w:keepNext/>
        <w:jc w:val="center"/>
      </w:pPr>
      <w:r>
        <w:t xml:space="preserve">Table 2. </w:t>
      </w:r>
      <w:r>
        <w:fldChar w:fldCharType="begin"/>
      </w:r>
      <w:r>
        <w:instrText xml:space="preserve"> SEQ Table_2. \* ARABIC </w:instrText>
      </w:r>
      <w:r>
        <w:fldChar w:fldCharType="separate"/>
      </w:r>
      <w:r>
        <w:rPr>
          <w:noProof/>
        </w:rPr>
        <w:t>1</w:t>
      </w:r>
      <w:r>
        <w:fldChar w:fldCharType="end"/>
      </w:r>
      <w:r>
        <w:t xml:space="preserve"> </w:t>
      </w:r>
      <w:proofErr w:type="spellStart"/>
      <w:r w:rsidRPr="0013455D">
        <w:t>SukkhaCitta</w:t>
      </w:r>
      <w:proofErr w:type="spellEnd"/>
      <w:r w:rsidRPr="0013455D">
        <w:t xml:space="preserve"> Brand Profile</w:t>
      </w:r>
    </w:p>
    <w:tbl>
      <w:tblPr>
        <w:tblStyle w:val="TableGrid"/>
        <w:tblW w:w="0" w:type="auto"/>
        <w:tblLook w:val="04A0" w:firstRow="1" w:lastRow="0" w:firstColumn="1" w:lastColumn="0" w:noHBand="0" w:noVBand="1"/>
      </w:tblPr>
      <w:tblGrid>
        <w:gridCol w:w="1980"/>
        <w:gridCol w:w="6281"/>
      </w:tblGrid>
      <w:tr w:rsidR="001C5328" w:rsidRPr="00A33513" w14:paraId="16D3F801" w14:textId="77777777" w:rsidTr="003E3CEB">
        <w:tc>
          <w:tcPr>
            <w:tcW w:w="0" w:type="auto"/>
            <w:hideMark/>
          </w:tcPr>
          <w:p w14:paraId="7A73EA82" w14:textId="77777777" w:rsidR="001C5328" w:rsidRPr="00A33513" w:rsidRDefault="001C5328" w:rsidP="003E3CEB">
            <w:pPr>
              <w:spacing w:line="480" w:lineRule="auto"/>
              <w:jc w:val="both"/>
              <w:rPr>
                <w:rFonts w:cs="Times New Roman"/>
                <w:b/>
                <w:bCs/>
              </w:rPr>
            </w:pPr>
            <w:r w:rsidRPr="00A33513">
              <w:rPr>
                <w:rFonts w:cs="Times New Roman"/>
                <w:b/>
                <w:bCs/>
              </w:rPr>
              <w:t>Aspect</w:t>
            </w:r>
          </w:p>
        </w:tc>
        <w:tc>
          <w:tcPr>
            <w:tcW w:w="0" w:type="auto"/>
            <w:hideMark/>
          </w:tcPr>
          <w:p w14:paraId="4BF87CAE" w14:textId="77777777" w:rsidR="001C5328" w:rsidRPr="00A33513" w:rsidRDefault="001C5328" w:rsidP="003E3CEB">
            <w:pPr>
              <w:spacing w:line="480" w:lineRule="auto"/>
              <w:jc w:val="both"/>
              <w:rPr>
                <w:rFonts w:cs="Times New Roman"/>
                <w:b/>
                <w:bCs/>
              </w:rPr>
            </w:pPr>
            <w:r w:rsidRPr="00A33513">
              <w:rPr>
                <w:rFonts w:cs="Times New Roman"/>
                <w:b/>
                <w:bCs/>
              </w:rPr>
              <w:t>Description</w:t>
            </w:r>
          </w:p>
        </w:tc>
      </w:tr>
      <w:tr w:rsidR="001C5328" w:rsidRPr="00A33513" w14:paraId="166DDE05" w14:textId="77777777" w:rsidTr="003E3CEB">
        <w:tc>
          <w:tcPr>
            <w:tcW w:w="0" w:type="auto"/>
            <w:hideMark/>
          </w:tcPr>
          <w:p w14:paraId="5CDDFB34" w14:textId="77777777" w:rsidR="001C5328" w:rsidRPr="00A33513" w:rsidRDefault="001C5328" w:rsidP="003E3CEB">
            <w:pPr>
              <w:spacing w:line="480" w:lineRule="auto"/>
              <w:jc w:val="both"/>
              <w:rPr>
                <w:rFonts w:cs="Times New Roman"/>
              </w:rPr>
            </w:pPr>
            <w:r w:rsidRPr="00A33513">
              <w:rPr>
                <w:rFonts w:cs="Times New Roman"/>
              </w:rPr>
              <w:t>Brand Name</w:t>
            </w:r>
          </w:p>
        </w:tc>
        <w:tc>
          <w:tcPr>
            <w:tcW w:w="0" w:type="auto"/>
            <w:hideMark/>
          </w:tcPr>
          <w:p w14:paraId="4AFAE69C" w14:textId="77777777" w:rsidR="001C5328" w:rsidRPr="00A33513" w:rsidRDefault="001C5328" w:rsidP="003E3CEB">
            <w:pPr>
              <w:spacing w:line="480" w:lineRule="auto"/>
              <w:jc w:val="both"/>
              <w:rPr>
                <w:rFonts w:cs="Times New Roman"/>
              </w:rPr>
            </w:pPr>
            <w:proofErr w:type="spellStart"/>
            <w:r w:rsidRPr="00A33513">
              <w:rPr>
                <w:rFonts w:cs="Times New Roman"/>
              </w:rPr>
              <w:t>SukkhaCitta</w:t>
            </w:r>
            <w:proofErr w:type="spellEnd"/>
          </w:p>
        </w:tc>
      </w:tr>
      <w:tr w:rsidR="001C5328" w:rsidRPr="00A33513" w14:paraId="257F685B" w14:textId="77777777" w:rsidTr="003E3CEB">
        <w:tc>
          <w:tcPr>
            <w:tcW w:w="0" w:type="auto"/>
            <w:hideMark/>
          </w:tcPr>
          <w:p w14:paraId="0FEB1626" w14:textId="77777777" w:rsidR="001C5328" w:rsidRPr="00A33513" w:rsidRDefault="001C5328" w:rsidP="003E3CEB">
            <w:pPr>
              <w:spacing w:line="480" w:lineRule="auto"/>
              <w:jc w:val="both"/>
              <w:rPr>
                <w:rFonts w:cs="Times New Roman"/>
              </w:rPr>
            </w:pPr>
            <w:r w:rsidRPr="00A33513">
              <w:rPr>
                <w:rFonts w:cs="Times New Roman"/>
              </w:rPr>
              <w:t>Founder</w:t>
            </w:r>
          </w:p>
        </w:tc>
        <w:tc>
          <w:tcPr>
            <w:tcW w:w="0" w:type="auto"/>
            <w:hideMark/>
          </w:tcPr>
          <w:p w14:paraId="48BD6959" w14:textId="77777777" w:rsidR="001C5328" w:rsidRPr="00A33513" w:rsidRDefault="001C5328" w:rsidP="003E3CEB">
            <w:pPr>
              <w:spacing w:line="480" w:lineRule="auto"/>
              <w:jc w:val="both"/>
              <w:rPr>
                <w:rFonts w:cs="Times New Roman"/>
              </w:rPr>
            </w:pPr>
            <w:r w:rsidRPr="00A33513">
              <w:rPr>
                <w:rFonts w:cs="Times New Roman"/>
              </w:rPr>
              <w:t>Denica Riadini-Flesch</w:t>
            </w:r>
          </w:p>
        </w:tc>
      </w:tr>
      <w:tr w:rsidR="001C5328" w:rsidRPr="00A33513" w14:paraId="1BC8795F" w14:textId="77777777" w:rsidTr="003E3CEB">
        <w:tc>
          <w:tcPr>
            <w:tcW w:w="0" w:type="auto"/>
            <w:hideMark/>
          </w:tcPr>
          <w:p w14:paraId="23D3298D" w14:textId="77777777" w:rsidR="001C5328" w:rsidRPr="00A33513" w:rsidRDefault="001C5328" w:rsidP="003E3CEB">
            <w:pPr>
              <w:spacing w:line="480" w:lineRule="auto"/>
              <w:jc w:val="both"/>
              <w:rPr>
                <w:rFonts w:cs="Times New Roman"/>
              </w:rPr>
            </w:pPr>
            <w:r w:rsidRPr="00A33513">
              <w:rPr>
                <w:rFonts w:cs="Times New Roman"/>
              </w:rPr>
              <w:lastRenderedPageBreak/>
              <w:t>Year of Establishment</w:t>
            </w:r>
          </w:p>
        </w:tc>
        <w:tc>
          <w:tcPr>
            <w:tcW w:w="0" w:type="auto"/>
            <w:hideMark/>
          </w:tcPr>
          <w:p w14:paraId="76EDCC6D" w14:textId="77777777" w:rsidR="001C5328" w:rsidRPr="00A33513" w:rsidRDefault="001C5328" w:rsidP="003E3CEB">
            <w:pPr>
              <w:spacing w:line="480" w:lineRule="auto"/>
              <w:jc w:val="both"/>
              <w:rPr>
                <w:rFonts w:cs="Times New Roman"/>
              </w:rPr>
            </w:pPr>
            <w:r w:rsidRPr="00A33513">
              <w:rPr>
                <w:rFonts w:cs="Times New Roman"/>
              </w:rPr>
              <w:t>2016</w:t>
            </w:r>
          </w:p>
        </w:tc>
      </w:tr>
      <w:tr w:rsidR="001C5328" w:rsidRPr="00A33513" w14:paraId="2F124116" w14:textId="77777777" w:rsidTr="003E3CEB">
        <w:tc>
          <w:tcPr>
            <w:tcW w:w="0" w:type="auto"/>
            <w:hideMark/>
          </w:tcPr>
          <w:p w14:paraId="74E4EA14" w14:textId="77777777" w:rsidR="001C5328" w:rsidRPr="00A33513" w:rsidRDefault="001C5328" w:rsidP="003E3CEB">
            <w:pPr>
              <w:spacing w:line="480" w:lineRule="auto"/>
              <w:jc w:val="both"/>
              <w:rPr>
                <w:rFonts w:cs="Times New Roman"/>
              </w:rPr>
            </w:pPr>
            <w:r w:rsidRPr="00A33513">
              <w:rPr>
                <w:rFonts w:cs="Times New Roman"/>
              </w:rPr>
              <w:t>Business Type</w:t>
            </w:r>
          </w:p>
        </w:tc>
        <w:tc>
          <w:tcPr>
            <w:tcW w:w="0" w:type="auto"/>
            <w:hideMark/>
          </w:tcPr>
          <w:p w14:paraId="0CF506CB" w14:textId="77777777" w:rsidR="001C5328" w:rsidRPr="00A33513" w:rsidRDefault="001C5328" w:rsidP="003E3CEB">
            <w:pPr>
              <w:spacing w:line="480" w:lineRule="auto"/>
              <w:jc w:val="both"/>
              <w:rPr>
                <w:rFonts w:cs="Times New Roman"/>
              </w:rPr>
            </w:pPr>
            <w:r w:rsidRPr="00A33513">
              <w:rPr>
                <w:rFonts w:cs="Times New Roman"/>
              </w:rPr>
              <w:t>Indonesian sustainable and regenerative fashion brand</w:t>
            </w:r>
          </w:p>
        </w:tc>
      </w:tr>
      <w:tr w:rsidR="001C5328" w:rsidRPr="00A33513" w14:paraId="498D84DD" w14:textId="77777777" w:rsidTr="003E3CEB">
        <w:tc>
          <w:tcPr>
            <w:tcW w:w="0" w:type="auto"/>
            <w:hideMark/>
          </w:tcPr>
          <w:p w14:paraId="6A57AA54" w14:textId="77777777" w:rsidR="001C5328" w:rsidRPr="00A33513" w:rsidRDefault="001C5328" w:rsidP="003E3CEB">
            <w:pPr>
              <w:spacing w:line="480" w:lineRule="auto"/>
              <w:jc w:val="both"/>
              <w:rPr>
                <w:rFonts w:cs="Times New Roman"/>
              </w:rPr>
            </w:pPr>
            <w:r w:rsidRPr="00A33513">
              <w:rPr>
                <w:rFonts w:cs="Times New Roman"/>
              </w:rPr>
              <w:t>Main Concept</w:t>
            </w:r>
          </w:p>
        </w:tc>
        <w:tc>
          <w:tcPr>
            <w:tcW w:w="0" w:type="auto"/>
            <w:hideMark/>
          </w:tcPr>
          <w:p w14:paraId="402E4157" w14:textId="77777777" w:rsidR="001C5328" w:rsidRPr="00A33513" w:rsidRDefault="001C5328" w:rsidP="003E3CEB">
            <w:pPr>
              <w:spacing w:line="480" w:lineRule="auto"/>
              <w:jc w:val="both"/>
              <w:rPr>
                <w:rFonts w:cs="Times New Roman"/>
              </w:rPr>
            </w:pPr>
            <w:r w:rsidRPr="00A33513">
              <w:rPr>
                <w:rFonts w:cs="Times New Roman"/>
              </w:rPr>
              <w:t>Farm-to-closet fashion model</w:t>
            </w:r>
          </w:p>
        </w:tc>
      </w:tr>
      <w:tr w:rsidR="001C5328" w:rsidRPr="00A33513" w14:paraId="4AD649CA" w14:textId="77777777" w:rsidTr="003E3CEB">
        <w:tc>
          <w:tcPr>
            <w:tcW w:w="0" w:type="auto"/>
            <w:hideMark/>
          </w:tcPr>
          <w:p w14:paraId="552EFF74" w14:textId="77777777" w:rsidR="001C5328" w:rsidRPr="00A33513" w:rsidRDefault="001C5328" w:rsidP="003E3CEB">
            <w:pPr>
              <w:spacing w:line="480" w:lineRule="auto"/>
              <w:jc w:val="both"/>
              <w:rPr>
                <w:rFonts w:cs="Times New Roman"/>
              </w:rPr>
            </w:pPr>
            <w:r w:rsidRPr="00A33513">
              <w:rPr>
                <w:rFonts w:cs="Times New Roman"/>
              </w:rPr>
              <w:t>Main Materials</w:t>
            </w:r>
          </w:p>
        </w:tc>
        <w:tc>
          <w:tcPr>
            <w:tcW w:w="0" w:type="auto"/>
            <w:hideMark/>
          </w:tcPr>
          <w:p w14:paraId="070AF7EF" w14:textId="77777777" w:rsidR="001C5328" w:rsidRPr="00A33513" w:rsidRDefault="001C5328" w:rsidP="003E3CEB">
            <w:pPr>
              <w:spacing w:line="480" w:lineRule="auto"/>
              <w:jc w:val="both"/>
              <w:rPr>
                <w:rFonts w:cs="Times New Roman"/>
              </w:rPr>
            </w:pPr>
            <w:r w:rsidRPr="00A33513">
              <w:rPr>
                <w:rFonts w:cs="Times New Roman"/>
              </w:rPr>
              <w:t>Natural fibres, regenerative cotton, plant-based dyes, and handcrafted textiles</w:t>
            </w:r>
          </w:p>
        </w:tc>
      </w:tr>
      <w:tr w:rsidR="001C5328" w:rsidRPr="00A33513" w14:paraId="44037C7E" w14:textId="77777777" w:rsidTr="003E3CEB">
        <w:tc>
          <w:tcPr>
            <w:tcW w:w="0" w:type="auto"/>
            <w:hideMark/>
          </w:tcPr>
          <w:p w14:paraId="19D9AC8B" w14:textId="77777777" w:rsidR="001C5328" w:rsidRPr="00A33513" w:rsidRDefault="001C5328" w:rsidP="003E3CEB">
            <w:pPr>
              <w:spacing w:line="480" w:lineRule="auto"/>
              <w:jc w:val="both"/>
              <w:rPr>
                <w:rFonts w:cs="Times New Roman"/>
              </w:rPr>
            </w:pPr>
            <w:r w:rsidRPr="00A33513">
              <w:rPr>
                <w:rFonts w:cs="Times New Roman"/>
              </w:rPr>
              <w:t>Production Approach</w:t>
            </w:r>
          </w:p>
        </w:tc>
        <w:tc>
          <w:tcPr>
            <w:tcW w:w="0" w:type="auto"/>
            <w:hideMark/>
          </w:tcPr>
          <w:p w14:paraId="4EBD0206" w14:textId="77777777" w:rsidR="001C5328" w:rsidRPr="00A33513" w:rsidRDefault="001C5328" w:rsidP="003E3CEB">
            <w:pPr>
              <w:spacing w:line="480" w:lineRule="auto"/>
              <w:jc w:val="both"/>
              <w:rPr>
                <w:rFonts w:cs="Times New Roman"/>
              </w:rPr>
            </w:pPr>
            <w:r w:rsidRPr="00A33513">
              <w:rPr>
                <w:rFonts w:cs="Times New Roman"/>
              </w:rPr>
              <w:t>Handmade production using traditional craftsmanship, hand weaving, embroidery, batik, and artisan-based production</w:t>
            </w:r>
          </w:p>
        </w:tc>
      </w:tr>
      <w:tr w:rsidR="001C5328" w:rsidRPr="00A33513" w14:paraId="1C87DC64" w14:textId="77777777" w:rsidTr="003E3CEB">
        <w:tc>
          <w:tcPr>
            <w:tcW w:w="0" w:type="auto"/>
            <w:hideMark/>
          </w:tcPr>
          <w:p w14:paraId="54CBBF38" w14:textId="77777777" w:rsidR="001C5328" w:rsidRPr="00A33513" w:rsidRDefault="001C5328" w:rsidP="003E3CEB">
            <w:pPr>
              <w:spacing w:line="480" w:lineRule="auto"/>
              <w:jc w:val="both"/>
              <w:rPr>
                <w:rFonts w:cs="Times New Roman"/>
              </w:rPr>
            </w:pPr>
            <w:r w:rsidRPr="00A33513">
              <w:rPr>
                <w:rFonts w:cs="Times New Roman"/>
              </w:rPr>
              <w:t>Environmental Value</w:t>
            </w:r>
          </w:p>
        </w:tc>
        <w:tc>
          <w:tcPr>
            <w:tcW w:w="0" w:type="auto"/>
            <w:hideMark/>
          </w:tcPr>
          <w:p w14:paraId="2773B231" w14:textId="77777777" w:rsidR="001C5328" w:rsidRPr="00A33513" w:rsidRDefault="001C5328" w:rsidP="003E3CEB">
            <w:pPr>
              <w:spacing w:line="480" w:lineRule="auto"/>
              <w:jc w:val="both"/>
              <w:rPr>
                <w:rFonts w:cs="Times New Roman"/>
              </w:rPr>
            </w:pPr>
            <w:r w:rsidRPr="00A33513">
              <w:rPr>
                <w:rFonts w:cs="Times New Roman"/>
              </w:rPr>
              <w:t>Regenerative farming, plant-based dyes, traceable materials, low-impact production, and circularity practices</w:t>
            </w:r>
          </w:p>
        </w:tc>
      </w:tr>
      <w:tr w:rsidR="001C5328" w:rsidRPr="00A33513" w14:paraId="6193C7D4" w14:textId="77777777" w:rsidTr="003E3CEB">
        <w:tc>
          <w:tcPr>
            <w:tcW w:w="0" w:type="auto"/>
            <w:hideMark/>
          </w:tcPr>
          <w:p w14:paraId="231EB2F5" w14:textId="77777777" w:rsidR="001C5328" w:rsidRPr="00A33513" w:rsidRDefault="001C5328" w:rsidP="003E3CEB">
            <w:pPr>
              <w:spacing w:line="480" w:lineRule="auto"/>
              <w:jc w:val="both"/>
              <w:rPr>
                <w:rFonts w:cs="Times New Roman"/>
              </w:rPr>
            </w:pPr>
            <w:r w:rsidRPr="00A33513">
              <w:rPr>
                <w:rFonts w:cs="Times New Roman"/>
              </w:rPr>
              <w:t>Social Value</w:t>
            </w:r>
          </w:p>
        </w:tc>
        <w:tc>
          <w:tcPr>
            <w:tcW w:w="0" w:type="auto"/>
            <w:hideMark/>
          </w:tcPr>
          <w:p w14:paraId="6BC4378B" w14:textId="77777777" w:rsidR="001C5328" w:rsidRPr="00A33513" w:rsidRDefault="001C5328" w:rsidP="003E3CEB">
            <w:pPr>
              <w:spacing w:line="480" w:lineRule="auto"/>
              <w:jc w:val="both"/>
              <w:rPr>
                <w:rFonts w:cs="Times New Roman"/>
              </w:rPr>
            </w:pPr>
            <w:r w:rsidRPr="00A33513">
              <w:rPr>
                <w:rFonts w:cs="Times New Roman"/>
              </w:rPr>
              <w:t>Empowerment of women artisans and smallholder farmers in rural Indonesian communities</w:t>
            </w:r>
          </w:p>
        </w:tc>
      </w:tr>
      <w:tr w:rsidR="001C5328" w:rsidRPr="00A33513" w14:paraId="72903CCE" w14:textId="77777777" w:rsidTr="003E3CEB">
        <w:tc>
          <w:tcPr>
            <w:tcW w:w="0" w:type="auto"/>
            <w:hideMark/>
          </w:tcPr>
          <w:p w14:paraId="7D660546" w14:textId="77777777" w:rsidR="001C5328" w:rsidRPr="00A33513" w:rsidRDefault="001C5328" w:rsidP="003E3CEB">
            <w:pPr>
              <w:spacing w:line="480" w:lineRule="auto"/>
              <w:jc w:val="both"/>
              <w:rPr>
                <w:rFonts w:cs="Times New Roman"/>
              </w:rPr>
            </w:pPr>
            <w:r w:rsidRPr="00A33513">
              <w:rPr>
                <w:rFonts w:cs="Times New Roman"/>
              </w:rPr>
              <w:t>Product Categories</w:t>
            </w:r>
          </w:p>
        </w:tc>
        <w:tc>
          <w:tcPr>
            <w:tcW w:w="0" w:type="auto"/>
            <w:hideMark/>
          </w:tcPr>
          <w:p w14:paraId="4DE558E6" w14:textId="77777777" w:rsidR="001C5328" w:rsidRPr="00A33513" w:rsidRDefault="001C5328" w:rsidP="003E3CEB">
            <w:pPr>
              <w:spacing w:line="480" w:lineRule="auto"/>
              <w:jc w:val="both"/>
              <w:rPr>
                <w:rFonts w:cs="Times New Roman"/>
              </w:rPr>
            </w:pPr>
            <w:r w:rsidRPr="00A33513">
              <w:rPr>
                <w:rFonts w:cs="Times New Roman"/>
              </w:rPr>
              <w:t xml:space="preserve">Tops and shirts, dresses, outerwear, kebaya and </w:t>
            </w:r>
            <w:proofErr w:type="spellStart"/>
            <w:r w:rsidRPr="00A33513">
              <w:rPr>
                <w:rFonts w:cs="Times New Roman"/>
              </w:rPr>
              <w:t>kain</w:t>
            </w:r>
            <w:proofErr w:type="spellEnd"/>
            <w:r w:rsidRPr="00A33513">
              <w:rPr>
                <w:rFonts w:cs="Times New Roman"/>
              </w:rPr>
              <w:t>, pants and skirts, accessories, shirts, and gender-neutral items</w:t>
            </w:r>
          </w:p>
        </w:tc>
      </w:tr>
      <w:tr w:rsidR="001C5328" w:rsidRPr="00A33513" w14:paraId="5C7FF082" w14:textId="77777777" w:rsidTr="003E3CEB">
        <w:tc>
          <w:tcPr>
            <w:tcW w:w="0" w:type="auto"/>
            <w:hideMark/>
          </w:tcPr>
          <w:p w14:paraId="22798F18" w14:textId="77777777" w:rsidR="001C5328" w:rsidRPr="00A33513" w:rsidRDefault="001C5328" w:rsidP="003E3CEB">
            <w:pPr>
              <w:spacing w:line="480" w:lineRule="auto"/>
              <w:jc w:val="both"/>
              <w:rPr>
                <w:rFonts w:cs="Times New Roman"/>
              </w:rPr>
            </w:pPr>
            <w:r w:rsidRPr="00A33513">
              <w:rPr>
                <w:rFonts w:cs="Times New Roman"/>
              </w:rPr>
              <w:t>Customer Services</w:t>
            </w:r>
          </w:p>
        </w:tc>
        <w:tc>
          <w:tcPr>
            <w:tcW w:w="0" w:type="auto"/>
            <w:hideMark/>
          </w:tcPr>
          <w:p w14:paraId="2C73408B" w14:textId="77777777" w:rsidR="001C5328" w:rsidRPr="00A33513" w:rsidRDefault="001C5328" w:rsidP="003E3CEB">
            <w:pPr>
              <w:spacing w:line="480" w:lineRule="auto"/>
              <w:jc w:val="both"/>
              <w:rPr>
                <w:rFonts w:cs="Times New Roman"/>
              </w:rPr>
            </w:pPr>
            <w:r w:rsidRPr="00A33513">
              <w:rPr>
                <w:rFonts w:cs="Times New Roman"/>
              </w:rPr>
              <w:t>Official online store, boutiques, selected stockists, worldwide shipping, repair services, and redye services</w:t>
            </w:r>
          </w:p>
        </w:tc>
      </w:tr>
      <w:tr w:rsidR="001C5328" w:rsidRPr="00A33513" w14:paraId="6F672928" w14:textId="77777777" w:rsidTr="003E3CEB">
        <w:tc>
          <w:tcPr>
            <w:tcW w:w="0" w:type="auto"/>
            <w:hideMark/>
          </w:tcPr>
          <w:p w14:paraId="333A872A" w14:textId="77777777" w:rsidR="001C5328" w:rsidRPr="00A33513" w:rsidRDefault="001C5328" w:rsidP="003E3CEB">
            <w:pPr>
              <w:spacing w:line="480" w:lineRule="auto"/>
              <w:jc w:val="both"/>
              <w:rPr>
                <w:rFonts w:cs="Times New Roman"/>
              </w:rPr>
            </w:pPr>
            <w:r w:rsidRPr="00A33513">
              <w:rPr>
                <w:rFonts w:cs="Times New Roman"/>
              </w:rPr>
              <w:t>Market Positioning</w:t>
            </w:r>
          </w:p>
        </w:tc>
        <w:tc>
          <w:tcPr>
            <w:tcW w:w="0" w:type="auto"/>
            <w:hideMark/>
          </w:tcPr>
          <w:p w14:paraId="67602B39" w14:textId="77777777" w:rsidR="001C5328" w:rsidRPr="00A33513" w:rsidRDefault="001C5328" w:rsidP="003E3CEB">
            <w:pPr>
              <w:spacing w:line="480" w:lineRule="auto"/>
              <w:jc w:val="both"/>
              <w:rPr>
                <w:rFonts w:cs="Times New Roman"/>
              </w:rPr>
            </w:pPr>
            <w:r w:rsidRPr="00A33513">
              <w:rPr>
                <w:rFonts w:cs="Times New Roman"/>
              </w:rPr>
              <w:t>Premium sustainable fashion brand with handcrafted and socially responsible products</w:t>
            </w:r>
          </w:p>
        </w:tc>
      </w:tr>
    </w:tbl>
    <w:p w14:paraId="63A2E29C" w14:textId="77777777" w:rsidR="001C5328" w:rsidRDefault="001C5328" w:rsidP="001C5328">
      <w:pPr>
        <w:spacing w:line="480" w:lineRule="auto"/>
        <w:jc w:val="both"/>
        <w:rPr>
          <w:rFonts w:cs="Times New Roman"/>
        </w:rPr>
      </w:pPr>
      <w:r w:rsidRPr="00A33513">
        <w:rPr>
          <w:rFonts w:cs="Times New Roman"/>
        </w:rPr>
        <w:t xml:space="preserve">Source: Compiled by the researcher based on </w:t>
      </w:r>
      <w:proofErr w:type="spellStart"/>
      <w:r w:rsidRPr="00A33513">
        <w:rPr>
          <w:rFonts w:cs="Times New Roman"/>
        </w:rPr>
        <w:t>SukkhaCitta</w:t>
      </w:r>
      <w:proofErr w:type="spellEnd"/>
      <w:r w:rsidRPr="00A33513">
        <w:rPr>
          <w:rFonts w:cs="Times New Roman"/>
        </w:rPr>
        <w:t xml:space="preserve"> Official Website (2026).</w:t>
      </w:r>
    </w:p>
    <w:p w14:paraId="7ADC56E8" w14:textId="77777777" w:rsidR="001C5328" w:rsidRDefault="001C5328" w:rsidP="001C5328">
      <w:pPr>
        <w:spacing w:line="480" w:lineRule="auto"/>
        <w:rPr>
          <w:rFonts w:cs="Times New Roman"/>
          <w:b/>
          <w:bCs/>
        </w:rPr>
      </w:pPr>
    </w:p>
    <w:p w14:paraId="71FEF31F" w14:textId="77777777" w:rsidR="001C5328" w:rsidRDefault="001C5328" w:rsidP="001C5328">
      <w:pPr>
        <w:spacing w:line="480" w:lineRule="auto"/>
        <w:rPr>
          <w:rFonts w:cs="Times New Roman"/>
          <w:b/>
          <w:bCs/>
        </w:rPr>
      </w:pPr>
    </w:p>
    <w:p w14:paraId="5CC1DB3B" w14:textId="77777777" w:rsidR="001C5328" w:rsidRPr="00A33513" w:rsidRDefault="001C5328" w:rsidP="001C5328">
      <w:pPr>
        <w:spacing w:line="480" w:lineRule="auto"/>
        <w:rPr>
          <w:rFonts w:cs="Times New Roman"/>
          <w:b/>
          <w:bCs/>
        </w:rPr>
      </w:pPr>
      <w:r>
        <w:rPr>
          <w:rFonts w:cs="Times New Roman"/>
          <w:b/>
          <w:bCs/>
        </w:rPr>
        <w:lastRenderedPageBreak/>
        <w:t xml:space="preserve">2.1.1 </w:t>
      </w:r>
      <w:r w:rsidRPr="00A33513">
        <w:rPr>
          <w:rFonts w:cs="Times New Roman"/>
          <w:b/>
          <w:bCs/>
        </w:rPr>
        <w:t>Product Offerings and Price Positioning</w:t>
      </w:r>
    </w:p>
    <w:p w14:paraId="140440BA" w14:textId="77777777" w:rsidR="001C5328" w:rsidRPr="00A33513" w:rsidRDefault="001C5328" w:rsidP="001C5328">
      <w:pPr>
        <w:spacing w:line="480" w:lineRule="auto"/>
        <w:jc w:val="both"/>
        <w:rPr>
          <w:rFonts w:cs="Times New Roman"/>
        </w:rPr>
      </w:pPr>
      <w:r>
        <w:rPr>
          <w:rFonts w:cs="Times New Roman"/>
        </w:rPr>
        <w:tab/>
      </w:r>
      <w:proofErr w:type="spellStart"/>
      <w:r w:rsidRPr="00A33513">
        <w:rPr>
          <w:rFonts w:cs="Times New Roman"/>
        </w:rPr>
        <w:t>SukkhaCitta</w:t>
      </w:r>
      <w:proofErr w:type="spellEnd"/>
      <w:r w:rsidRPr="00A33513">
        <w:rPr>
          <w:rFonts w:cs="Times New Roman"/>
        </w:rPr>
        <w:t xml:space="preserve"> offers various fashion products for women and men. Its women’s collections include tops and shirts, dresses, outerwear, kebaya and </w:t>
      </w:r>
      <w:proofErr w:type="spellStart"/>
      <w:r w:rsidRPr="00A33513">
        <w:rPr>
          <w:rFonts w:cs="Times New Roman"/>
        </w:rPr>
        <w:t>kain</w:t>
      </w:r>
      <w:proofErr w:type="spellEnd"/>
      <w:r w:rsidRPr="00A33513">
        <w:rPr>
          <w:rFonts w:cs="Times New Roman"/>
        </w:rPr>
        <w:t>, pants and skirts, and accessories. The brand also offers gender-neutral products and selected menswear categories, including shirts, outerwear, pants, and shorts.</w:t>
      </w:r>
    </w:p>
    <w:p w14:paraId="0233CE54" w14:textId="77777777" w:rsidR="001C5328" w:rsidRPr="00A33513" w:rsidRDefault="001C5328" w:rsidP="001C5328">
      <w:pPr>
        <w:spacing w:line="480" w:lineRule="auto"/>
        <w:ind w:firstLine="720"/>
        <w:jc w:val="both"/>
        <w:rPr>
          <w:rFonts w:cs="Times New Roman"/>
        </w:rPr>
      </w:pPr>
      <w:r w:rsidRPr="00A33513">
        <w:rPr>
          <w:rFonts w:cs="Times New Roman"/>
        </w:rPr>
        <w:t xml:space="preserve">The selling price of </w:t>
      </w:r>
      <w:proofErr w:type="spellStart"/>
      <w:r w:rsidRPr="00A33513">
        <w:rPr>
          <w:rFonts w:cs="Times New Roman"/>
        </w:rPr>
        <w:t>SukkhaCitta</w:t>
      </w:r>
      <w:proofErr w:type="spellEnd"/>
      <w:r w:rsidRPr="00A33513">
        <w:rPr>
          <w:rFonts w:cs="Times New Roman"/>
        </w:rPr>
        <w:t xml:space="preserve"> products varies depending on the material, craftsmanship, production process, and collection. The relatively premium price positioning reflects the use of handmade production, heritage craftsmanship, traceable natural materials, and efforts to provide fair compensation throughout the supply chain.</w:t>
      </w:r>
    </w:p>
    <w:p w14:paraId="187F2D2E" w14:textId="77777777" w:rsidR="001C5328" w:rsidRDefault="001C5328" w:rsidP="001C5328">
      <w:pPr>
        <w:keepNext/>
        <w:spacing w:line="480" w:lineRule="auto"/>
      </w:pPr>
      <w:r>
        <w:rPr>
          <w:noProof/>
        </w:rPr>
        <w:lastRenderedPageBreak/>
        <w:drawing>
          <wp:inline distT="0" distB="0" distL="0" distR="0" wp14:anchorId="7886BA14" wp14:editId="639D882D">
            <wp:extent cx="5252085" cy="4198620"/>
            <wp:effectExtent l="0" t="0" r="5715" b="5080"/>
            <wp:docPr id="5085295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52085" cy="4198620"/>
                    </a:xfrm>
                    <a:prstGeom prst="rect">
                      <a:avLst/>
                    </a:prstGeom>
                    <a:noFill/>
                    <a:ln>
                      <a:noFill/>
                    </a:ln>
                  </pic:spPr>
                </pic:pic>
              </a:graphicData>
            </a:graphic>
          </wp:inline>
        </w:drawing>
      </w:r>
    </w:p>
    <w:p w14:paraId="61F50E2F" w14:textId="77777777" w:rsidR="001C5328" w:rsidRDefault="001C5328" w:rsidP="001C5328">
      <w:pPr>
        <w:pStyle w:val="Caption"/>
        <w:jc w:val="center"/>
      </w:pPr>
      <w:r>
        <w:t xml:space="preserve">Figure 2. </w:t>
      </w:r>
      <w:r>
        <w:fldChar w:fldCharType="begin"/>
      </w:r>
      <w:r>
        <w:instrText xml:space="preserve"> SEQ Figure_2. \* ARABIC </w:instrText>
      </w:r>
      <w:r>
        <w:fldChar w:fldCharType="separate"/>
      </w:r>
      <w:r>
        <w:rPr>
          <w:noProof/>
        </w:rPr>
        <w:t>2</w:t>
      </w:r>
      <w:r>
        <w:fldChar w:fldCharType="end"/>
      </w:r>
      <w:r>
        <w:t xml:space="preserve"> </w:t>
      </w:r>
      <w:r w:rsidRPr="0076113C">
        <w:t xml:space="preserve">Example of a </w:t>
      </w:r>
      <w:proofErr w:type="spellStart"/>
      <w:r w:rsidRPr="0076113C">
        <w:t>SukkhaCitta</w:t>
      </w:r>
      <w:proofErr w:type="spellEnd"/>
      <w:r w:rsidRPr="0076113C">
        <w:t xml:space="preserve"> Ready-to-Wear Product</w:t>
      </w:r>
    </w:p>
    <w:p w14:paraId="112E1511" w14:textId="77777777" w:rsidR="001C5328" w:rsidRDefault="001C5328" w:rsidP="001C5328"/>
    <w:p w14:paraId="2FEAE78C" w14:textId="77777777" w:rsidR="001C5328" w:rsidRDefault="001C5328" w:rsidP="001C5328">
      <w:pPr>
        <w:pStyle w:val="Caption"/>
        <w:keepNext/>
        <w:jc w:val="center"/>
      </w:pPr>
      <w:r>
        <w:t xml:space="preserve">Table 2. </w:t>
      </w:r>
      <w:r>
        <w:fldChar w:fldCharType="begin"/>
      </w:r>
      <w:r>
        <w:instrText xml:space="preserve"> SEQ Table_2. \* ARABIC </w:instrText>
      </w:r>
      <w:r>
        <w:fldChar w:fldCharType="separate"/>
      </w:r>
      <w:r>
        <w:rPr>
          <w:noProof/>
        </w:rPr>
        <w:t>2</w:t>
      </w:r>
      <w:r>
        <w:fldChar w:fldCharType="end"/>
      </w:r>
      <w:r>
        <w:t xml:space="preserve"> </w:t>
      </w:r>
      <w:r w:rsidRPr="00427CDD">
        <w:t xml:space="preserve">Representative </w:t>
      </w:r>
      <w:proofErr w:type="spellStart"/>
      <w:r w:rsidRPr="00427CDD">
        <w:t>SukkhaCitta</w:t>
      </w:r>
      <w:proofErr w:type="spellEnd"/>
      <w:r w:rsidRPr="00427CDD">
        <w:t xml:space="preserve"> Product Prices</w:t>
      </w:r>
    </w:p>
    <w:tbl>
      <w:tblPr>
        <w:tblStyle w:val="TableGrid"/>
        <w:tblW w:w="0" w:type="auto"/>
        <w:tblLook w:val="04A0" w:firstRow="1" w:lastRow="0" w:firstColumn="1" w:lastColumn="0" w:noHBand="0" w:noVBand="1"/>
      </w:tblPr>
      <w:tblGrid>
        <w:gridCol w:w="570"/>
        <w:gridCol w:w="3107"/>
        <w:gridCol w:w="2531"/>
        <w:gridCol w:w="2053"/>
      </w:tblGrid>
      <w:tr w:rsidR="001C5328" w:rsidRPr="00A33513" w14:paraId="540A9F14" w14:textId="77777777" w:rsidTr="003E3CEB">
        <w:tc>
          <w:tcPr>
            <w:tcW w:w="0" w:type="auto"/>
            <w:hideMark/>
          </w:tcPr>
          <w:p w14:paraId="61C1AC71" w14:textId="77777777" w:rsidR="001C5328" w:rsidRPr="00A33513" w:rsidRDefault="001C5328" w:rsidP="003E3CEB">
            <w:pPr>
              <w:spacing w:line="480" w:lineRule="auto"/>
              <w:rPr>
                <w:b/>
                <w:bCs/>
              </w:rPr>
            </w:pPr>
            <w:r w:rsidRPr="00A33513">
              <w:rPr>
                <w:b/>
                <w:bCs/>
              </w:rPr>
              <w:t>No.</w:t>
            </w:r>
          </w:p>
        </w:tc>
        <w:tc>
          <w:tcPr>
            <w:tcW w:w="0" w:type="auto"/>
            <w:hideMark/>
          </w:tcPr>
          <w:p w14:paraId="5E0148EF" w14:textId="77777777" w:rsidR="001C5328" w:rsidRPr="00A33513" w:rsidRDefault="001C5328" w:rsidP="003E3CEB">
            <w:pPr>
              <w:spacing w:line="480" w:lineRule="auto"/>
              <w:rPr>
                <w:b/>
                <w:bCs/>
              </w:rPr>
            </w:pPr>
            <w:r w:rsidRPr="00A33513">
              <w:rPr>
                <w:b/>
                <w:bCs/>
              </w:rPr>
              <w:t>Product</w:t>
            </w:r>
          </w:p>
        </w:tc>
        <w:tc>
          <w:tcPr>
            <w:tcW w:w="0" w:type="auto"/>
            <w:hideMark/>
          </w:tcPr>
          <w:p w14:paraId="7257E983" w14:textId="77777777" w:rsidR="001C5328" w:rsidRPr="00A33513" w:rsidRDefault="001C5328" w:rsidP="003E3CEB">
            <w:pPr>
              <w:spacing w:line="480" w:lineRule="auto"/>
              <w:rPr>
                <w:b/>
                <w:bCs/>
              </w:rPr>
            </w:pPr>
            <w:r w:rsidRPr="00A33513">
              <w:rPr>
                <w:b/>
                <w:bCs/>
              </w:rPr>
              <w:t>Product Category</w:t>
            </w:r>
          </w:p>
        </w:tc>
        <w:tc>
          <w:tcPr>
            <w:tcW w:w="0" w:type="auto"/>
            <w:hideMark/>
          </w:tcPr>
          <w:p w14:paraId="31A64DFD" w14:textId="77777777" w:rsidR="001C5328" w:rsidRPr="00A33513" w:rsidRDefault="001C5328" w:rsidP="003E3CEB">
            <w:pPr>
              <w:spacing w:line="480" w:lineRule="auto"/>
              <w:rPr>
                <w:b/>
                <w:bCs/>
              </w:rPr>
            </w:pPr>
            <w:r w:rsidRPr="00A33513">
              <w:rPr>
                <w:b/>
                <w:bCs/>
              </w:rPr>
              <w:t>Listed Price</w:t>
            </w:r>
          </w:p>
        </w:tc>
      </w:tr>
      <w:tr w:rsidR="001C5328" w:rsidRPr="00A33513" w14:paraId="1A3A33CF" w14:textId="77777777" w:rsidTr="003E3CEB">
        <w:tc>
          <w:tcPr>
            <w:tcW w:w="0" w:type="auto"/>
            <w:hideMark/>
          </w:tcPr>
          <w:p w14:paraId="368596A3" w14:textId="77777777" w:rsidR="001C5328" w:rsidRPr="00A33513" w:rsidRDefault="001C5328" w:rsidP="003E3CEB">
            <w:pPr>
              <w:spacing w:line="480" w:lineRule="auto"/>
            </w:pPr>
            <w:r w:rsidRPr="00A33513">
              <w:t>1</w:t>
            </w:r>
          </w:p>
        </w:tc>
        <w:tc>
          <w:tcPr>
            <w:tcW w:w="0" w:type="auto"/>
            <w:hideMark/>
          </w:tcPr>
          <w:p w14:paraId="3DF0B2EC" w14:textId="77777777" w:rsidR="001C5328" w:rsidRPr="00A33513" w:rsidRDefault="001C5328" w:rsidP="003E3CEB">
            <w:pPr>
              <w:spacing w:line="480" w:lineRule="auto"/>
            </w:pPr>
            <w:r w:rsidRPr="00A33513">
              <w:t xml:space="preserve">Camisole in </w:t>
            </w:r>
            <w:proofErr w:type="spellStart"/>
            <w:r w:rsidRPr="00A33513">
              <w:t>Ikatan</w:t>
            </w:r>
            <w:proofErr w:type="spellEnd"/>
          </w:p>
        </w:tc>
        <w:tc>
          <w:tcPr>
            <w:tcW w:w="0" w:type="auto"/>
            <w:hideMark/>
          </w:tcPr>
          <w:p w14:paraId="560CDB0E" w14:textId="77777777" w:rsidR="001C5328" w:rsidRPr="00A33513" w:rsidRDefault="001C5328" w:rsidP="003E3CEB">
            <w:pPr>
              <w:spacing w:line="480" w:lineRule="auto"/>
            </w:pPr>
            <w:r w:rsidRPr="00A33513">
              <w:t>Top</w:t>
            </w:r>
          </w:p>
        </w:tc>
        <w:tc>
          <w:tcPr>
            <w:tcW w:w="0" w:type="auto"/>
            <w:hideMark/>
          </w:tcPr>
          <w:p w14:paraId="463C8153" w14:textId="77777777" w:rsidR="001C5328" w:rsidRPr="00A33513" w:rsidRDefault="001C5328" w:rsidP="003E3CEB">
            <w:pPr>
              <w:spacing w:line="480" w:lineRule="auto"/>
            </w:pPr>
            <w:r w:rsidRPr="00A33513">
              <w:t>IDR 890,000</w:t>
            </w:r>
          </w:p>
        </w:tc>
      </w:tr>
      <w:tr w:rsidR="001C5328" w:rsidRPr="00A33513" w14:paraId="34C74728" w14:textId="77777777" w:rsidTr="003E3CEB">
        <w:tc>
          <w:tcPr>
            <w:tcW w:w="0" w:type="auto"/>
            <w:hideMark/>
          </w:tcPr>
          <w:p w14:paraId="45E239D5" w14:textId="77777777" w:rsidR="001C5328" w:rsidRPr="00A33513" w:rsidRDefault="001C5328" w:rsidP="003E3CEB">
            <w:pPr>
              <w:spacing w:line="480" w:lineRule="auto"/>
            </w:pPr>
            <w:r w:rsidRPr="00A33513">
              <w:t>2</w:t>
            </w:r>
          </w:p>
        </w:tc>
        <w:tc>
          <w:tcPr>
            <w:tcW w:w="0" w:type="auto"/>
            <w:hideMark/>
          </w:tcPr>
          <w:p w14:paraId="12D16B9C" w14:textId="77777777" w:rsidR="001C5328" w:rsidRPr="00A33513" w:rsidRDefault="001C5328" w:rsidP="003E3CEB">
            <w:pPr>
              <w:spacing w:line="480" w:lineRule="auto"/>
            </w:pPr>
            <w:r w:rsidRPr="00A33513">
              <w:t xml:space="preserve">Classic Wrap Top in </w:t>
            </w:r>
            <w:proofErr w:type="spellStart"/>
            <w:r w:rsidRPr="00A33513">
              <w:t>Ikatan</w:t>
            </w:r>
            <w:proofErr w:type="spellEnd"/>
          </w:p>
        </w:tc>
        <w:tc>
          <w:tcPr>
            <w:tcW w:w="0" w:type="auto"/>
            <w:hideMark/>
          </w:tcPr>
          <w:p w14:paraId="071A013D" w14:textId="77777777" w:rsidR="001C5328" w:rsidRPr="00A33513" w:rsidRDefault="001C5328" w:rsidP="003E3CEB">
            <w:pPr>
              <w:spacing w:line="480" w:lineRule="auto"/>
            </w:pPr>
            <w:r w:rsidRPr="00A33513">
              <w:t>Top</w:t>
            </w:r>
          </w:p>
        </w:tc>
        <w:tc>
          <w:tcPr>
            <w:tcW w:w="0" w:type="auto"/>
            <w:hideMark/>
          </w:tcPr>
          <w:p w14:paraId="0BAE322B" w14:textId="77777777" w:rsidR="001C5328" w:rsidRPr="00A33513" w:rsidRDefault="001C5328" w:rsidP="003E3CEB">
            <w:pPr>
              <w:spacing w:line="480" w:lineRule="auto"/>
            </w:pPr>
            <w:r w:rsidRPr="00A33513">
              <w:t>From IDR 1,790,000</w:t>
            </w:r>
          </w:p>
        </w:tc>
      </w:tr>
      <w:tr w:rsidR="001C5328" w:rsidRPr="00A33513" w14:paraId="399CD711" w14:textId="77777777" w:rsidTr="003E3CEB">
        <w:tc>
          <w:tcPr>
            <w:tcW w:w="0" w:type="auto"/>
            <w:hideMark/>
          </w:tcPr>
          <w:p w14:paraId="5C019176" w14:textId="77777777" w:rsidR="001C5328" w:rsidRPr="00A33513" w:rsidRDefault="001C5328" w:rsidP="003E3CEB">
            <w:pPr>
              <w:spacing w:line="480" w:lineRule="auto"/>
            </w:pPr>
            <w:r w:rsidRPr="00A33513">
              <w:t>3</w:t>
            </w:r>
          </w:p>
        </w:tc>
        <w:tc>
          <w:tcPr>
            <w:tcW w:w="0" w:type="auto"/>
            <w:hideMark/>
          </w:tcPr>
          <w:p w14:paraId="43364418" w14:textId="77777777" w:rsidR="001C5328" w:rsidRPr="00A33513" w:rsidRDefault="001C5328" w:rsidP="003E3CEB">
            <w:pPr>
              <w:spacing w:line="480" w:lineRule="auto"/>
            </w:pPr>
            <w:r w:rsidRPr="00A33513">
              <w:t>Hand-Stitched Pearl Top in Kapas</w:t>
            </w:r>
          </w:p>
        </w:tc>
        <w:tc>
          <w:tcPr>
            <w:tcW w:w="0" w:type="auto"/>
            <w:hideMark/>
          </w:tcPr>
          <w:p w14:paraId="13DF1999" w14:textId="77777777" w:rsidR="001C5328" w:rsidRPr="00A33513" w:rsidRDefault="001C5328" w:rsidP="003E3CEB">
            <w:pPr>
              <w:spacing w:line="480" w:lineRule="auto"/>
            </w:pPr>
            <w:r w:rsidRPr="00A33513">
              <w:t>Top</w:t>
            </w:r>
          </w:p>
        </w:tc>
        <w:tc>
          <w:tcPr>
            <w:tcW w:w="0" w:type="auto"/>
            <w:hideMark/>
          </w:tcPr>
          <w:p w14:paraId="70E5C3FE" w14:textId="77777777" w:rsidR="001C5328" w:rsidRPr="00A33513" w:rsidRDefault="001C5328" w:rsidP="003E3CEB">
            <w:pPr>
              <w:spacing w:line="480" w:lineRule="auto"/>
            </w:pPr>
            <w:r w:rsidRPr="00A33513">
              <w:t>IDR 1,890,000</w:t>
            </w:r>
          </w:p>
        </w:tc>
      </w:tr>
      <w:tr w:rsidR="001C5328" w:rsidRPr="00A33513" w14:paraId="4D0C9C70" w14:textId="77777777" w:rsidTr="003E3CEB">
        <w:tc>
          <w:tcPr>
            <w:tcW w:w="0" w:type="auto"/>
            <w:hideMark/>
          </w:tcPr>
          <w:p w14:paraId="50F38150" w14:textId="77777777" w:rsidR="001C5328" w:rsidRPr="00A33513" w:rsidRDefault="001C5328" w:rsidP="003E3CEB">
            <w:pPr>
              <w:spacing w:line="480" w:lineRule="auto"/>
            </w:pPr>
            <w:r w:rsidRPr="00A33513">
              <w:lastRenderedPageBreak/>
              <w:t>4</w:t>
            </w:r>
          </w:p>
        </w:tc>
        <w:tc>
          <w:tcPr>
            <w:tcW w:w="0" w:type="auto"/>
            <w:hideMark/>
          </w:tcPr>
          <w:p w14:paraId="28B4C79C" w14:textId="77777777" w:rsidR="001C5328" w:rsidRPr="00A33513" w:rsidRDefault="001C5328" w:rsidP="003E3CEB">
            <w:pPr>
              <w:spacing w:line="480" w:lineRule="auto"/>
            </w:pPr>
            <w:r w:rsidRPr="00A33513">
              <w:t xml:space="preserve">Relaxed Shirt in </w:t>
            </w:r>
            <w:proofErr w:type="spellStart"/>
            <w:r w:rsidRPr="00A33513">
              <w:t>Ikatan</w:t>
            </w:r>
            <w:proofErr w:type="spellEnd"/>
          </w:p>
        </w:tc>
        <w:tc>
          <w:tcPr>
            <w:tcW w:w="0" w:type="auto"/>
            <w:hideMark/>
          </w:tcPr>
          <w:p w14:paraId="3A5A7494" w14:textId="77777777" w:rsidR="001C5328" w:rsidRPr="00A33513" w:rsidRDefault="001C5328" w:rsidP="003E3CEB">
            <w:pPr>
              <w:spacing w:line="480" w:lineRule="auto"/>
            </w:pPr>
            <w:r w:rsidRPr="00A33513">
              <w:t>Gender-Neutral Shirt</w:t>
            </w:r>
          </w:p>
        </w:tc>
        <w:tc>
          <w:tcPr>
            <w:tcW w:w="0" w:type="auto"/>
            <w:hideMark/>
          </w:tcPr>
          <w:p w14:paraId="3B37217D" w14:textId="77777777" w:rsidR="001C5328" w:rsidRPr="00A33513" w:rsidRDefault="001C5328" w:rsidP="003E3CEB">
            <w:pPr>
              <w:spacing w:line="480" w:lineRule="auto"/>
            </w:pPr>
            <w:r w:rsidRPr="00A33513">
              <w:t>From IDR 2,190,000</w:t>
            </w:r>
          </w:p>
        </w:tc>
      </w:tr>
      <w:tr w:rsidR="001C5328" w:rsidRPr="00A33513" w14:paraId="79804F6B" w14:textId="77777777" w:rsidTr="003E3CEB">
        <w:tc>
          <w:tcPr>
            <w:tcW w:w="0" w:type="auto"/>
            <w:hideMark/>
          </w:tcPr>
          <w:p w14:paraId="77DA6155" w14:textId="77777777" w:rsidR="001C5328" w:rsidRPr="00A33513" w:rsidRDefault="001C5328" w:rsidP="003E3CEB">
            <w:pPr>
              <w:spacing w:line="480" w:lineRule="auto"/>
            </w:pPr>
            <w:r w:rsidRPr="00A33513">
              <w:t>5</w:t>
            </w:r>
          </w:p>
        </w:tc>
        <w:tc>
          <w:tcPr>
            <w:tcW w:w="0" w:type="auto"/>
            <w:hideMark/>
          </w:tcPr>
          <w:p w14:paraId="0FD4E242" w14:textId="77777777" w:rsidR="001C5328" w:rsidRPr="00A33513" w:rsidRDefault="001C5328" w:rsidP="003E3CEB">
            <w:pPr>
              <w:spacing w:line="480" w:lineRule="auto"/>
            </w:pPr>
            <w:r w:rsidRPr="00A33513">
              <w:t xml:space="preserve">Canvas Overshirt in </w:t>
            </w:r>
            <w:proofErr w:type="spellStart"/>
            <w:r w:rsidRPr="00A33513">
              <w:t>Ikatan</w:t>
            </w:r>
            <w:proofErr w:type="spellEnd"/>
          </w:p>
        </w:tc>
        <w:tc>
          <w:tcPr>
            <w:tcW w:w="0" w:type="auto"/>
            <w:hideMark/>
          </w:tcPr>
          <w:p w14:paraId="74F8B280" w14:textId="77777777" w:rsidR="001C5328" w:rsidRPr="00A33513" w:rsidRDefault="001C5328" w:rsidP="003E3CEB">
            <w:pPr>
              <w:spacing w:line="480" w:lineRule="auto"/>
            </w:pPr>
            <w:r w:rsidRPr="00A33513">
              <w:t>Gender-Neutral Outerwear</w:t>
            </w:r>
          </w:p>
        </w:tc>
        <w:tc>
          <w:tcPr>
            <w:tcW w:w="0" w:type="auto"/>
            <w:hideMark/>
          </w:tcPr>
          <w:p w14:paraId="03E4BF02" w14:textId="77777777" w:rsidR="001C5328" w:rsidRPr="00A33513" w:rsidRDefault="001C5328" w:rsidP="003E3CEB">
            <w:pPr>
              <w:spacing w:line="480" w:lineRule="auto"/>
            </w:pPr>
            <w:r w:rsidRPr="00A33513">
              <w:t>From IDR 3,990,000</w:t>
            </w:r>
          </w:p>
        </w:tc>
      </w:tr>
    </w:tbl>
    <w:p w14:paraId="4A73B5B4" w14:textId="77777777" w:rsidR="001C5328" w:rsidRDefault="001C5328" w:rsidP="001C5328">
      <w:pPr>
        <w:spacing w:line="480" w:lineRule="auto"/>
        <w:rPr>
          <w:rFonts w:cs="Times New Roman"/>
        </w:rPr>
      </w:pPr>
      <w:r w:rsidRPr="00A33513">
        <w:rPr>
          <w:rFonts w:cs="Times New Roman"/>
        </w:rPr>
        <w:t xml:space="preserve">Source: </w:t>
      </w:r>
      <w:proofErr w:type="spellStart"/>
      <w:r w:rsidRPr="00A33513">
        <w:rPr>
          <w:rFonts w:cs="Times New Roman"/>
        </w:rPr>
        <w:t>SukkhaCitta</w:t>
      </w:r>
      <w:proofErr w:type="spellEnd"/>
      <w:r w:rsidRPr="00A33513">
        <w:rPr>
          <w:rFonts w:cs="Times New Roman"/>
        </w:rPr>
        <w:t xml:space="preserve"> Official Website, accessed on July 3, 2026.</w:t>
      </w:r>
    </w:p>
    <w:p w14:paraId="540EA191" w14:textId="77777777" w:rsidR="001C5328" w:rsidRDefault="001C5328" w:rsidP="001C5328">
      <w:pPr>
        <w:spacing w:line="480" w:lineRule="auto"/>
        <w:rPr>
          <w:rFonts w:cs="Times New Roman"/>
          <w:b/>
          <w:bCs/>
        </w:rPr>
      </w:pPr>
      <w:r w:rsidRPr="00A33513">
        <w:rPr>
          <w:rFonts w:cs="Times New Roman"/>
          <w:b/>
          <w:bCs/>
        </w:rPr>
        <w:t>2.1.2 Distribution Channels and Customer Access</w:t>
      </w:r>
    </w:p>
    <w:p w14:paraId="50591616" w14:textId="77777777" w:rsidR="001C5328" w:rsidRPr="00F63229" w:rsidRDefault="001C5328" w:rsidP="001C5328">
      <w:pPr>
        <w:spacing w:line="480" w:lineRule="auto"/>
        <w:jc w:val="both"/>
        <w:rPr>
          <w:rFonts w:cs="Times New Roman"/>
        </w:rPr>
      </w:pPr>
      <w:r>
        <w:rPr>
          <w:rFonts w:cs="Times New Roman"/>
        </w:rPr>
        <w:tab/>
      </w:r>
      <w:proofErr w:type="spellStart"/>
      <w:r w:rsidRPr="00F63229">
        <w:rPr>
          <w:rFonts w:cs="Times New Roman"/>
        </w:rPr>
        <w:t>SukkhaCitta</w:t>
      </w:r>
      <w:proofErr w:type="spellEnd"/>
      <w:r w:rsidRPr="00F63229">
        <w:rPr>
          <w:rFonts w:cs="Times New Roman"/>
        </w:rPr>
        <w:t xml:space="preserve"> distributes its products through its official online platform, physical boutiques, and selected stockists. The official website lists Rumah </w:t>
      </w:r>
      <w:proofErr w:type="spellStart"/>
      <w:r w:rsidRPr="00F63229">
        <w:rPr>
          <w:rFonts w:cs="Times New Roman"/>
        </w:rPr>
        <w:t>SukkhaCitta</w:t>
      </w:r>
      <w:proofErr w:type="spellEnd"/>
      <w:r w:rsidRPr="00F63229">
        <w:rPr>
          <w:rFonts w:cs="Times New Roman"/>
        </w:rPr>
        <w:t xml:space="preserve"> at ASHTA District 8 Jakarta, selected stockists, and worldwide shipping services. These distribution channels provide consumers with several alternatives for accessing and purchasing </w:t>
      </w:r>
      <w:proofErr w:type="spellStart"/>
      <w:r w:rsidRPr="00F63229">
        <w:rPr>
          <w:rFonts w:cs="Times New Roman"/>
        </w:rPr>
        <w:t>SukkhaCitta</w:t>
      </w:r>
      <w:proofErr w:type="spellEnd"/>
      <w:r w:rsidRPr="00F63229">
        <w:rPr>
          <w:rFonts w:cs="Times New Roman"/>
        </w:rPr>
        <w:t xml:space="preserve"> products.</w:t>
      </w:r>
    </w:p>
    <w:p w14:paraId="04B11EBD" w14:textId="77777777" w:rsidR="001C5328" w:rsidRPr="00F63229" w:rsidRDefault="001C5328" w:rsidP="001C5328">
      <w:pPr>
        <w:spacing w:line="480" w:lineRule="auto"/>
        <w:ind w:firstLine="720"/>
        <w:jc w:val="both"/>
        <w:rPr>
          <w:rFonts w:cs="Times New Roman"/>
        </w:rPr>
      </w:pPr>
      <w:r w:rsidRPr="00F63229">
        <w:rPr>
          <w:rFonts w:cs="Times New Roman"/>
        </w:rPr>
        <w:t>The availability of both online and offline purchasing channels is relevant to this study because consumers may consider the credibility of sellers, product accessibility, purchasing location, and convenience before making a Purchase Decision. Furthermore, the availability of official channels can strengthen consumer trust and reduce perceived risk when purchasing premium fashion products.</w:t>
      </w:r>
    </w:p>
    <w:p w14:paraId="19F4FCD9" w14:textId="77777777" w:rsidR="001C5328" w:rsidRDefault="001C5328" w:rsidP="001C5328">
      <w:pPr>
        <w:spacing w:line="480" w:lineRule="auto"/>
        <w:ind w:firstLine="720"/>
        <w:jc w:val="both"/>
        <w:rPr>
          <w:rFonts w:cs="Times New Roman"/>
        </w:rPr>
      </w:pPr>
      <w:r w:rsidRPr="00F63229">
        <w:rPr>
          <w:rFonts w:cs="Times New Roman"/>
        </w:rPr>
        <w:t>SukkhaCitta’s official site lists product categories, boutiques, selected stockists, and worldwide shipping; it also explains that pricing reflects handmade heritage craftsmanship, production time, natural materials, and living wages across the supply chain</w:t>
      </w:r>
      <w:r>
        <w:rPr>
          <w:rFonts w:cs="Times New Roman"/>
        </w:rPr>
        <w:t>.</w:t>
      </w:r>
    </w:p>
    <w:p w14:paraId="6694CF8C" w14:textId="77777777" w:rsidR="001C5328" w:rsidRPr="00A33513" w:rsidRDefault="001C5328" w:rsidP="001C5328">
      <w:pPr>
        <w:spacing w:line="480" w:lineRule="auto"/>
        <w:ind w:firstLine="720"/>
        <w:jc w:val="both"/>
        <w:rPr>
          <w:rFonts w:cs="Times New Roman"/>
        </w:rPr>
      </w:pPr>
    </w:p>
    <w:p w14:paraId="75EB08F8" w14:textId="77777777" w:rsidR="001C5328" w:rsidRDefault="001C5328" w:rsidP="001C5328">
      <w:pPr>
        <w:spacing w:line="480" w:lineRule="auto"/>
        <w:rPr>
          <w:rFonts w:cs="Times New Roman"/>
          <w:b/>
          <w:bCs/>
        </w:rPr>
      </w:pPr>
      <w:r>
        <w:rPr>
          <w:rFonts w:cs="Times New Roman"/>
          <w:b/>
          <w:bCs/>
        </w:rPr>
        <w:lastRenderedPageBreak/>
        <w:t>2.2 Demographic Statistics</w:t>
      </w:r>
    </w:p>
    <w:p w14:paraId="54C40D80" w14:textId="77777777" w:rsidR="001C5328" w:rsidRPr="00373DD7" w:rsidRDefault="001C5328" w:rsidP="001C5328">
      <w:pPr>
        <w:spacing w:line="480" w:lineRule="auto"/>
        <w:ind w:firstLine="720"/>
        <w:jc w:val="both"/>
        <w:rPr>
          <w:rFonts w:cs="Times New Roman"/>
        </w:rPr>
      </w:pPr>
      <w:r>
        <w:rPr>
          <w:rFonts w:cs="Times New Roman"/>
        </w:rPr>
        <w:t xml:space="preserve">In conducting the research, this study obtained data from 104 respondents who met the criteria, namely having bought </w:t>
      </w:r>
      <w:proofErr w:type="spellStart"/>
      <w:r>
        <w:rPr>
          <w:rFonts w:cs="Times New Roman"/>
        </w:rPr>
        <w:t>sukkhacitta</w:t>
      </w:r>
      <w:proofErr w:type="spellEnd"/>
      <w:r>
        <w:rPr>
          <w:rFonts w:cs="Times New Roman"/>
        </w:rPr>
        <w:t xml:space="preserve"> products. The demographic characteristics of the respondents can be seen in the following table.</w:t>
      </w:r>
    </w:p>
    <w:p w14:paraId="0046C7A3" w14:textId="77777777" w:rsidR="001C5328" w:rsidRDefault="001C5328" w:rsidP="001C5328">
      <w:pPr>
        <w:pStyle w:val="Caption"/>
        <w:keepNext/>
        <w:jc w:val="center"/>
      </w:pPr>
      <w:r>
        <w:t xml:space="preserve">Table 2. </w:t>
      </w:r>
      <w:r>
        <w:fldChar w:fldCharType="begin"/>
      </w:r>
      <w:r>
        <w:instrText xml:space="preserve"> SEQ Table_2. \* ARABIC </w:instrText>
      </w:r>
      <w:r>
        <w:fldChar w:fldCharType="separate"/>
      </w:r>
      <w:r>
        <w:rPr>
          <w:noProof/>
        </w:rPr>
        <w:t>3</w:t>
      </w:r>
      <w:r>
        <w:rPr>
          <w:noProof/>
        </w:rPr>
        <w:fldChar w:fldCharType="end"/>
      </w:r>
      <w:r>
        <w:t xml:space="preserve"> </w:t>
      </w:r>
      <w:r w:rsidRPr="00235B99">
        <w:t>Demographic Statistics</w:t>
      </w:r>
    </w:p>
    <w:tbl>
      <w:tblPr>
        <w:tblStyle w:val="TableGrid"/>
        <w:tblW w:w="8275" w:type="dxa"/>
        <w:tblLook w:val="04A0" w:firstRow="1" w:lastRow="0" w:firstColumn="1" w:lastColumn="0" w:noHBand="0" w:noVBand="1"/>
      </w:tblPr>
      <w:tblGrid>
        <w:gridCol w:w="1255"/>
        <w:gridCol w:w="4410"/>
        <w:gridCol w:w="990"/>
        <w:gridCol w:w="1620"/>
      </w:tblGrid>
      <w:tr w:rsidR="001C5328" w14:paraId="7F30B9E3" w14:textId="77777777" w:rsidTr="003E3CEB">
        <w:tc>
          <w:tcPr>
            <w:tcW w:w="5665" w:type="dxa"/>
            <w:gridSpan w:val="2"/>
          </w:tcPr>
          <w:p w14:paraId="36656D6A" w14:textId="77777777" w:rsidR="001C5328" w:rsidRDefault="001C5328" w:rsidP="003E3CEB">
            <w:pPr>
              <w:spacing w:line="360" w:lineRule="auto"/>
              <w:jc w:val="center"/>
              <w:rPr>
                <w:rFonts w:cs="Times New Roman"/>
                <w:b/>
                <w:bCs/>
              </w:rPr>
            </w:pPr>
            <w:r>
              <w:rPr>
                <w:rFonts w:cs="Times New Roman"/>
                <w:b/>
                <w:bCs/>
              </w:rPr>
              <w:t>Demographic Data</w:t>
            </w:r>
          </w:p>
        </w:tc>
        <w:tc>
          <w:tcPr>
            <w:tcW w:w="990" w:type="dxa"/>
          </w:tcPr>
          <w:p w14:paraId="6C2353FF" w14:textId="77777777" w:rsidR="001C5328" w:rsidRDefault="001C5328" w:rsidP="003E3CEB">
            <w:pPr>
              <w:spacing w:line="360" w:lineRule="auto"/>
              <w:jc w:val="center"/>
              <w:rPr>
                <w:rFonts w:cs="Times New Roman"/>
                <w:b/>
                <w:bCs/>
              </w:rPr>
            </w:pPr>
            <w:r>
              <w:rPr>
                <w:rFonts w:cs="Times New Roman"/>
                <w:b/>
                <w:bCs/>
              </w:rPr>
              <w:t>Total</w:t>
            </w:r>
          </w:p>
        </w:tc>
        <w:tc>
          <w:tcPr>
            <w:tcW w:w="1620" w:type="dxa"/>
          </w:tcPr>
          <w:p w14:paraId="225A59B8" w14:textId="77777777" w:rsidR="001C5328" w:rsidRDefault="001C5328" w:rsidP="003E3CEB">
            <w:pPr>
              <w:spacing w:line="360" w:lineRule="auto"/>
              <w:jc w:val="center"/>
              <w:rPr>
                <w:rFonts w:cs="Times New Roman"/>
                <w:b/>
                <w:bCs/>
              </w:rPr>
            </w:pPr>
            <w:r>
              <w:rPr>
                <w:rFonts w:cs="Times New Roman"/>
                <w:b/>
                <w:bCs/>
              </w:rPr>
              <w:t>Percentage</w:t>
            </w:r>
          </w:p>
        </w:tc>
      </w:tr>
      <w:tr w:rsidR="001C5328" w14:paraId="162299C0" w14:textId="77777777" w:rsidTr="003E3CEB">
        <w:tc>
          <w:tcPr>
            <w:tcW w:w="1255" w:type="dxa"/>
            <w:vMerge w:val="restart"/>
          </w:tcPr>
          <w:p w14:paraId="0B5835B3" w14:textId="77777777" w:rsidR="001C5328" w:rsidRPr="00843D2B" w:rsidRDefault="001C5328" w:rsidP="003E3CEB">
            <w:pPr>
              <w:spacing w:line="360" w:lineRule="auto"/>
              <w:jc w:val="center"/>
              <w:rPr>
                <w:rFonts w:cs="Times New Roman"/>
              </w:rPr>
            </w:pPr>
            <w:r>
              <w:rPr>
                <w:rFonts w:cs="Times New Roman"/>
              </w:rPr>
              <w:t>Gender</w:t>
            </w:r>
          </w:p>
        </w:tc>
        <w:tc>
          <w:tcPr>
            <w:tcW w:w="4410" w:type="dxa"/>
          </w:tcPr>
          <w:p w14:paraId="5210CDA5" w14:textId="77777777" w:rsidR="001C5328" w:rsidRPr="00843D2B" w:rsidRDefault="001C5328" w:rsidP="003E3CEB">
            <w:pPr>
              <w:spacing w:line="360" w:lineRule="auto"/>
              <w:jc w:val="center"/>
              <w:rPr>
                <w:rFonts w:cs="Times New Roman"/>
              </w:rPr>
            </w:pPr>
            <w:r>
              <w:rPr>
                <w:rFonts w:cs="Times New Roman"/>
              </w:rPr>
              <w:t>Male</w:t>
            </w:r>
          </w:p>
        </w:tc>
        <w:tc>
          <w:tcPr>
            <w:tcW w:w="990" w:type="dxa"/>
          </w:tcPr>
          <w:p w14:paraId="69AE26EE" w14:textId="77777777" w:rsidR="001C5328" w:rsidRPr="00843D2B" w:rsidRDefault="001C5328" w:rsidP="003E3CEB">
            <w:pPr>
              <w:spacing w:line="360" w:lineRule="auto"/>
              <w:jc w:val="center"/>
              <w:rPr>
                <w:rFonts w:cs="Times New Roman"/>
              </w:rPr>
            </w:pPr>
            <w:r w:rsidRPr="008B6C30">
              <w:t>45</w:t>
            </w:r>
          </w:p>
        </w:tc>
        <w:tc>
          <w:tcPr>
            <w:tcW w:w="1620" w:type="dxa"/>
          </w:tcPr>
          <w:p w14:paraId="59185931" w14:textId="77777777" w:rsidR="001C5328" w:rsidRPr="00843D2B" w:rsidRDefault="001C5328" w:rsidP="003E3CEB">
            <w:pPr>
              <w:spacing w:line="360" w:lineRule="auto"/>
              <w:jc w:val="center"/>
              <w:rPr>
                <w:rFonts w:cs="Times New Roman"/>
              </w:rPr>
            </w:pPr>
            <w:r w:rsidRPr="008B6C30">
              <w:t>43.3</w:t>
            </w:r>
            <w:r>
              <w:t>%</w:t>
            </w:r>
          </w:p>
        </w:tc>
      </w:tr>
      <w:tr w:rsidR="001C5328" w14:paraId="7B87AFF9" w14:textId="77777777" w:rsidTr="003E3CEB">
        <w:tc>
          <w:tcPr>
            <w:tcW w:w="1255" w:type="dxa"/>
            <w:vMerge/>
          </w:tcPr>
          <w:p w14:paraId="48711246" w14:textId="77777777" w:rsidR="001C5328" w:rsidRPr="00843D2B" w:rsidRDefault="001C5328" w:rsidP="003E3CEB">
            <w:pPr>
              <w:spacing w:line="360" w:lineRule="auto"/>
              <w:jc w:val="center"/>
              <w:rPr>
                <w:rFonts w:cs="Times New Roman"/>
              </w:rPr>
            </w:pPr>
          </w:p>
        </w:tc>
        <w:tc>
          <w:tcPr>
            <w:tcW w:w="4410" w:type="dxa"/>
          </w:tcPr>
          <w:p w14:paraId="34D6D1C2" w14:textId="77777777" w:rsidR="001C5328" w:rsidRPr="00843D2B" w:rsidRDefault="001C5328" w:rsidP="003E3CEB">
            <w:pPr>
              <w:spacing w:line="360" w:lineRule="auto"/>
              <w:jc w:val="center"/>
              <w:rPr>
                <w:rFonts w:cs="Times New Roman"/>
              </w:rPr>
            </w:pPr>
            <w:r>
              <w:rPr>
                <w:rFonts w:cs="Times New Roman"/>
              </w:rPr>
              <w:t>Female</w:t>
            </w:r>
          </w:p>
        </w:tc>
        <w:tc>
          <w:tcPr>
            <w:tcW w:w="990" w:type="dxa"/>
          </w:tcPr>
          <w:p w14:paraId="3039E083" w14:textId="77777777" w:rsidR="001C5328" w:rsidRPr="00843D2B" w:rsidRDefault="001C5328" w:rsidP="003E3CEB">
            <w:pPr>
              <w:spacing w:line="360" w:lineRule="auto"/>
              <w:jc w:val="center"/>
              <w:rPr>
                <w:rFonts w:cs="Times New Roman"/>
              </w:rPr>
            </w:pPr>
            <w:r w:rsidRPr="008B6C30">
              <w:t>59</w:t>
            </w:r>
          </w:p>
        </w:tc>
        <w:tc>
          <w:tcPr>
            <w:tcW w:w="1620" w:type="dxa"/>
          </w:tcPr>
          <w:p w14:paraId="3766BDAF" w14:textId="77777777" w:rsidR="001C5328" w:rsidRPr="00843D2B" w:rsidRDefault="001C5328" w:rsidP="003E3CEB">
            <w:pPr>
              <w:spacing w:line="360" w:lineRule="auto"/>
              <w:jc w:val="center"/>
              <w:rPr>
                <w:rFonts w:cs="Times New Roman"/>
              </w:rPr>
            </w:pPr>
            <w:r w:rsidRPr="008B6C30">
              <w:t>56.7</w:t>
            </w:r>
            <w:r>
              <w:t>%</w:t>
            </w:r>
          </w:p>
        </w:tc>
      </w:tr>
      <w:tr w:rsidR="001C5328" w14:paraId="701FD8BE" w14:textId="77777777" w:rsidTr="003E3CEB">
        <w:tc>
          <w:tcPr>
            <w:tcW w:w="1255" w:type="dxa"/>
            <w:vMerge w:val="restart"/>
          </w:tcPr>
          <w:p w14:paraId="1F76D5A6" w14:textId="77777777" w:rsidR="001C5328" w:rsidRPr="00843D2B" w:rsidRDefault="001C5328" w:rsidP="003E3CEB">
            <w:pPr>
              <w:spacing w:line="360" w:lineRule="auto"/>
              <w:jc w:val="center"/>
              <w:rPr>
                <w:rFonts w:cs="Times New Roman"/>
              </w:rPr>
            </w:pPr>
            <w:r>
              <w:rPr>
                <w:rFonts w:cs="Times New Roman"/>
              </w:rPr>
              <w:t>Age</w:t>
            </w:r>
          </w:p>
        </w:tc>
        <w:tc>
          <w:tcPr>
            <w:tcW w:w="4410" w:type="dxa"/>
          </w:tcPr>
          <w:p w14:paraId="2CEF1440" w14:textId="77777777" w:rsidR="001C5328" w:rsidRPr="00843D2B" w:rsidRDefault="001C5328" w:rsidP="003E3CEB">
            <w:pPr>
              <w:spacing w:line="360" w:lineRule="auto"/>
              <w:jc w:val="center"/>
              <w:rPr>
                <w:rFonts w:cs="Times New Roman"/>
              </w:rPr>
            </w:pPr>
            <w:r w:rsidRPr="005C71D0">
              <w:t xml:space="preserve">&lt; 17 </w:t>
            </w:r>
          </w:p>
        </w:tc>
        <w:tc>
          <w:tcPr>
            <w:tcW w:w="990" w:type="dxa"/>
          </w:tcPr>
          <w:p w14:paraId="6AE8B802" w14:textId="77777777" w:rsidR="001C5328" w:rsidRPr="00843D2B" w:rsidRDefault="001C5328" w:rsidP="003E3CEB">
            <w:pPr>
              <w:spacing w:line="360" w:lineRule="auto"/>
              <w:jc w:val="center"/>
              <w:rPr>
                <w:rFonts w:cs="Times New Roman"/>
              </w:rPr>
            </w:pPr>
            <w:r w:rsidRPr="005C71D0">
              <w:t>2</w:t>
            </w:r>
          </w:p>
        </w:tc>
        <w:tc>
          <w:tcPr>
            <w:tcW w:w="1620" w:type="dxa"/>
          </w:tcPr>
          <w:p w14:paraId="7CE81FFB" w14:textId="77777777" w:rsidR="001C5328" w:rsidRPr="00843D2B" w:rsidRDefault="001C5328" w:rsidP="003E3CEB">
            <w:pPr>
              <w:spacing w:line="360" w:lineRule="auto"/>
              <w:jc w:val="center"/>
              <w:rPr>
                <w:rFonts w:cs="Times New Roman"/>
              </w:rPr>
            </w:pPr>
            <w:r w:rsidRPr="005C71D0">
              <w:t>1.9</w:t>
            </w:r>
            <w:r>
              <w:t>%</w:t>
            </w:r>
          </w:p>
        </w:tc>
      </w:tr>
      <w:tr w:rsidR="001C5328" w14:paraId="6B1FE3C5" w14:textId="77777777" w:rsidTr="003E3CEB">
        <w:tc>
          <w:tcPr>
            <w:tcW w:w="1255" w:type="dxa"/>
            <w:vMerge/>
          </w:tcPr>
          <w:p w14:paraId="10CAD4E8" w14:textId="77777777" w:rsidR="001C5328" w:rsidRPr="00843D2B" w:rsidRDefault="001C5328" w:rsidP="003E3CEB">
            <w:pPr>
              <w:spacing w:line="360" w:lineRule="auto"/>
              <w:jc w:val="center"/>
              <w:rPr>
                <w:rFonts w:cs="Times New Roman"/>
              </w:rPr>
            </w:pPr>
          </w:p>
        </w:tc>
        <w:tc>
          <w:tcPr>
            <w:tcW w:w="4410" w:type="dxa"/>
          </w:tcPr>
          <w:p w14:paraId="505680B4" w14:textId="77777777" w:rsidR="001C5328" w:rsidRPr="00843D2B" w:rsidRDefault="001C5328" w:rsidP="003E3CEB">
            <w:pPr>
              <w:spacing w:line="360" w:lineRule="auto"/>
              <w:jc w:val="center"/>
              <w:rPr>
                <w:rFonts w:cs="Times New Roman"/>
              </w:rPr>
            </w:pPr>
            <w:r w:rsidRPr="005C71D0">
              <w:t xml:space="preserve">&gt; 45 </w:t>
            </w:r>
          </w:p>
        </w:tc>
        <w:tc>
          <w:tcPr>
            <w:tcW w:w="990" w:type="dxa"/>
          </w:tcPr>
          <w:p w14:paraId="21944A9D" w14:textId="77777777" w:rsidR="001C5328" w:rsidRPr="00843D2B" w:rsidRDefault="001C5328" w:rsidP="003E3CEB">
            <w:pPr>
              <w:spacing w:line="360" w:lineRule="auto"/>
              <w:jc w:val="center"/>
              <w:rPr>
                <w:rFonts w:cs="Times New Roman"/>
              </w:rPr>
            </w:pPr>
            <w:r w:rsidRPr="005C71D0">
              <w:t>1</w:t>
            </w:r>
          </w:p>
        </w:tc>
        <w:tc>
          <w:tcPr>
            <w:tcW w:w="1620" w:type="dxa"/>
          </w:tcPr>
          <w:p w14:paraId="50FF3EFA" w14:textId="77777777" w:rsidR="001C5328" w:rsidRPr="00843D2B" w:rsidRDefault="001C5328" w:rsidP="003E3CEB">
            <w:pPr>
              <w:spacing w:line="360" w:lineRule="auto"/>
              <w:jc w:val="center"/>
              <w:rPr>
                <w:rFonts w:cs="Times New Roman"/>
              </w:rPr>
            </w:pPr>
            <w:r w:rsidRPr="005C71D0">
              <w:t>1.0</w:t>
            </w:r>
            <w:r>
              <w:t>%</w:t>
            </w:r>
          </w:p>
        </w:tc>
      </w:tr>
      <w:tr w:rsidR="001C5328" w14:paraId="3C8BD84B" w14:textId="77777777" w:rsidTr="003E3CEB">
        <w:tc>
          <w:tcPr>
            <w:tcW w:w="1255" w:type="dxa"/>
            <w:vMerge/>
          </w:tcPr>
          <w:p w14:paraId="4171EC6F" w14:textId="77777777" w:rsidR="001C5328" w:rsidRPr="00843D2B" w:rsidRDefault="001C5328" w:rsidP="003E3CEB">
            <w:pPr>
              <w:spacing w:line="360" w:lineRule="auto"/>
              <w:jc w:val="center"/>
              <w:rPr>
                <w:rFonts w:cs="Times New Roman"/>
              </w:rPr>
            </w:pPr>
          </w:p>
        </w:tc>
        <w:tc>
          <w:tcPr>
            <w:tcW w:w="4410" w:type="dxa"/>
          </w:tcPr>
          <w:p w14:paraId="4A883F82" w14:textId="77777777" w:rsidR="001C5328" w:rsidRPr="00843D2B" w:rsidRDefault="001C5328" w:rsidP="003E3CEB">
            <w:pPr>
              <w:spacing w:line="360" w:lineRule="auto"/>
              <w:jc w:val="center"/>
              <w:rPr>
                <w:rFonts w:cs="Times New Roman"/>
              </w:rPr>
            </w:pPr>
            <w:r w:rsidRPr="005C71D0">
              <w:t xml:space="preserve">17 - 25 </w:t>
            </w:r>
          </w:p>
        </w:tc>
        <w:tc>
          <w:tcPr>
            <w:tcW w:w="990" w:type="dxa"/>
          </w:tcPr>
          <w:p w14:paraId="67F92841" w14:textId="77777777" w:rsidR="001C5328" w:rsidRPr="00843D2B" w:rsidRDefault="001C5328" w:rsidP="003E3CEB">
            <w:pPr>
              <w:spacing w:line="360" w:lineRule="auto"/>
              <w:jc w:val="center"/>
              <w:rPr>
                <w:rFonts w:cs="Times New Roman"/>
              </w:rPr>
            </w:pPr>
            <w:r w:rsidRPr="005C71D0">
              <w:t>41</w:t>
            </w:r>
          </w:p>
        </w:tc>
        <w:tc>
          <w:tcPr>
            <w:tcW w:w="1620" w:type="dxa"/>
          </w:tcPr>
          <w:p w14:paraId="5C8A3122" w14:textId="77777777" w:rsidR="001C5328" w:rsidRPr="00843D2B" w:rsidRDefault="001C5328" w:rsidP="003E3CEB">
            <w:pPr>
              <w:spacing w:line="360" w:lineRule="auto"/>
              <w:jc w:val="center"/>
              <w:rPr>
                <w:rFonts w:cs="Times New Roman"/>
              </w:rPr>
            </w:pPr>
            <w:r w:rsidRPr="005C71D0">
              <w:t>39.4</w:t>
            </w:r>
            <w:r>
              <w:t>%</w:t>
            </w:r>
          </w:p>
        </w:tc>
      </w:tr>
      <w:tr w:rsidR="001C5328" w14:paraId="2D465EE6" w14:textId="77777777" w:rsidTr="003E3CEB">
        <w:tc>
          <w:tcPr>
            <w:tcW w:w="1255" w:type="dxa"/>
            <w:vMerge/>
          </w:tcPr>
          <w:p w14:paraId="5BF58126" w14:textId="77777777" w:rsidR="001C5328" w:rsidRPr="00843D2B" w:rsidRDefault="001C5328" w:rsidP="003E3CEB">
            <w:pPr>
              <w:spacing w:line="360" w:lineRule="auto"/>
              <w:jc w:val="center"/>
              <w:rPr>
                <w:rFonts w:cs="Times New Roman"/>
              </w:rPr>
            </w:pPr>
          </w:p>
        </w:tc>
        <w:tc>
          <w:tcPr>
            <w:tcW w:w="4410" w:type="dxa"/>
          </w:tcPr>
          <w:p w14:paraId="746868B7" w14:textId="77777777" w:rsidR="001C5328" w:rsidRPr="00843D2B" w:rsidRDefault="001C5328" w:rsidP="003E3CEB">
            <w:pPr>
              <w:spacing w:line="360" w:lineRule="auto"/>
              <w:jc w:val="center"/>
              <w:rPr>
                <w:rFonts w:cs="Times New Roman"/>
              </w:rPr>
            </w:pPr>
            <w:r w:rsidRPr="005C71D0">
              <w:t xml:space="preserve">26 - 35 </w:t>
            </w:r>
          </w:p>
        </w:tc>
        <w:tc>
          <w:tcPr>
            <w:tcW w:w="990" w:type="dxa"/>
          </w:tcPr>
          <w:p w14:paraId="6486337B" w14:textId="77777777" w:rsidR="001C5328" w:rsidRPr="00843D2B" w:rsidRDefault="001C5328" w:rsidP="003E3CEB">
            <w:pPr>
              <w:spacing w:line="360" w:lineRule="auto"/>
              <w:jc w:val="center"/>
              <w:rPr>
                <w:rFonts w:cs="Times New Roman"/>
              </w:rPr>
            </w:pPr>
            <w:r w:rsidRPr="005C71D0">
              <w:t>38</w:t>
            </w:r>
          </w:p>
        </w:tc>
        <w:tc>
          <w:tcPr>
            <w:tcW w:w="1620" w:type="dxa"/>
          </w:tcPr>
          <w:p w14:paraId="0B71F165" w14:textId="77777777" w:rsidR="001C5328" w:rsidRPr="00843D2B" w:rsidRDefault="001C5328" w:rsidP="003E3CEB">
            <w:pPr>
              <w:spacing w:line="360" w:lineRule="auto"/>
              <w:jc w:val="center"/>
              <w:rPr>
                <w:rFonts w:cs="Times New Roman"/>
              </w:rPr>
            </w:pPr>
            <w:r w:rsidRPr="005C71D0">
              <w:t>36.5</w:t>
            </w:r>
            <w:r>
              <w:t>%</w:t>
            </w:r>
          </w:p>
        </w:tc>
      </w:tr>
      <w:tr w:rsidR="001C5328" w14:paraId="2BCE7226" w14:textId="77777777" w:rsidTr="003E3CEB">
        <w:tc>
          <w:tcPr>
            <w:tcW w:w="1255" w:type="dxa"/>
            <w:vMerge/>
          </w:tcPr>
          <w:p w14:paraId="7FB361A9" w14:textId="77777777" w:rsidR="001C5328" w:rsidRPr="00843D2B" w:rsidRDefault="001C5328" w:rsidP="003E3CEB">
            <w:pPr>
              <w:spacing w:line="360" w:lineRule="auto"/>
              <w:jc w:val="center"/>
              <w:rPr>
                <w:rFonts w:cs="Times New Roman"/>
              </w:rPr>
            </w:pPr>
          </w:p>
        </w:tc>
        <w:tc>
          <w:tcPr>
            <w:tcW w:w="4410" w:type="dxa"/>
          </w:tcPr>
          <w:p w14:paraId="1FB694DF" w14:textId="77777777" w:rsidR="001C5328" w:rsidRPr="00843D2B" w:rsidRDefault="001C5328" w:rsidP="003E3CEB">
            <w:pPr>
              <w:spacing w:line="360" w:lineRule="auto"/>
              <w:jc w:val="center"/>
              <w:rPr>
                <w:rFonts w:cs="Times New Roman"/>
              </w:rPr>
            </w:pPr>
            <w:r w:rsidRPr="005C71D0">
              <w:t xml:space="preserve">36 - 45 </w:t>
            </w:r>
          </w:p>
        </w:tc>
        <w:tc>
          <w:tcPr>
            <w:tcW w:w="990" w:type="dxa"/>
          </w:tcPr>
          <w:p w14:paraId="3A79E7E2" w14:textId="77777777" w:rsidR="001C5328" w:rsidRPr="00843D2B" w:rsidRDefault="001C5328" w:rsidP="003E3CEB">
            <w:pPr>
              <w:spacing w:line="360" w:lineRule="auto"/>
              <w:jc w:val="center"/>
              <w:rPr>
                <w:rFonts w:cs="Times New Roman"/>
              </w:rPr>
            </w:pPr>
            <w:r w:rsidRPr="005C71D0">
              <w:t>22</w:t>
            </w:r>
          </w:p>
        </w:tc>
        <w:tc>
          <w:tcPr>
            <w:tcW w:w="1620" w:type="dxa"/>
          </w:tcPr>
          <w:p w14:paraId="71C19DC5" w14:textId="77777777" w:rsidR="001C5328" w:rsidRPr="00843D2B" w:rsidRDefault="001C5328" w:rsidP="003E3CEB">
            <w:pPr>
              <w:spacing w:line="360" w:lineRule="auto"/>
              <w:jc w:val="center"/>
              <w:rPr>
                <w:rFonts w:cs="Times New Roman"/>
              </w:rPr>
            </w:pPr>
            <w:r w:rsidRPr="005C71D0">
              <w:t>21.2</w:t>
            </w:r>
            <w:r>
              <w:t>%</w:t>
            </w:r>
          </w:p>
        </w:tc>
      </w:tr>
      <w:tr w:rsidR="001C5328" w14:paraId="295DCE7E" w14:textId="77777777" w:rsidTr="003E3CEB">
        <w:tc>
          <w:tcPr>
            <w:tcW w:w="1255" w:type="dxa"/>
            <w:vMerge w:val="restart"/>
          </w:tcPr>
          <w:p w14:paraId="29FDDEB8" w14:textId="77777777" w:rsidR="001C5328" w:rsidRPr="00843D2B" w:rsidRDefault="001C5328" w:rsidP="003E3CEB">
            <w:pPr>
              <w:spacing w:line="360" w:lineRule="auto"/>
              <w:jc w:val="center"/>
              <w:rPr>
                <w:rFonts w:cs="Times New Roman"/>
              </w:rPr>
            </w:pPr>
            <w:r>
              <w:rPr>
                <w:rFonts w:cs="Times New Roman"/>
              </w:rPr>
              <w:t>Job</w:t>
            </w:r>
          </w:p>
        </w:tc>
        <w:tc>
          <w:tcPr>
            <w:tcW w:w="4410" w:type="dxa"/>
          </w:tcPr>
          <w:p w14:paraId="0B55F431" w14:textId="77777777" w:rsidR="001C5328" w:rsidRPr="00843D2B" w:rsidRDefault="001C5328" w:rsidP="003E3CEB">
            <w:pPr>
              <w:spacing w:line="360" w:lineRule="auto"/>
              <w:jc w:val="center"/>
              <w:rPr>
                <w:rFonts w:cs="Times New Roman"/>
              </w:rPr>
            </w:pPr>
            <w:r w:rsidRPr="00E26E8C">
              <w:t>Freelancers</w:t>
            </w:r>
          </w:p>
        </w:tc>
        <w:tc>
          <w:tcPr>
            <w:tcW w:w="990" w:type="dxa"/>
          </w:tcPr>
          <w:p w14:paraId="7B85A9E1" w14:textId="77777777" w:rsidR="001C5328" w:rsidRPr="00843D2B" w:rsidRDefault="001C5328" w:rsidP="003E3CEB">
            <w:pPr>
              <w:spacing w:line="360" w:lineRule="auto"/>
              <w:jc w:val="center"/>
              <w:rPr>
                <w:rFonts w:cs="Times New Roman"/>
              </w:rPr>
            </w:pPr>
            <w:r w:rsidRPr="005B4D44">
              <w:t>11</w:t>
            </w:r>
          </w:p>
        </w:tc>
        <w:tc>
          <w:tcPr>
            <w:tcW w:w="1620" w:type="dxa"/>
          </w:tcPr>
          <w:p w14:paraId="51D311C7" w14:textId="77777777" w:rsidR="001C5328" w:rsidRPr="00843D2B" w:rsidRDefault="001C5328" w:rsidP="003E3CEB">
            <w:pPr>
              <w:spacing w:line="360" w:lineRule="auto"/>
              <w:jc w:val="center"/>
              <w:rPr>
                <w:rFonts w:cs="Times New Roman"/>
              </w:rPr>
            </w:pPr>
            <w:r w:rsidRPr="005B4D44">
              <w:t>10.6</w:t>
            </w:r>
            <w:r>
              <w:t>%</w:t>
            </w:r>
          </w:p>
        </w:tc>
      </w:tr>
      <w:tr w:rsidR="001C5328" w14:paraId="2315D4C5" w14:textId="77777777" w:rsidTr="003E3CEB">
        <w:tc>
          <w:tcPr>
            <w:tcW w:w="1255" w:type="dxa"/>
            <w:vMerge/>
          </w:tcPr>
          <w:p w14:paraId="0EC79164" w14:textId="77777777" w:rsidR="001C5328" w:rsidRPr="00843D2B" w:rsidRDefault="001C5328" w:rsidP="003E3CEB">
            <w:pPr>
              <w:spacing w:line="360" w:lineRule="auto"/>
              <w:jc w:val="center"/>
              <w:rPr>
                <w:rFonts w:cs="Times New Roman"/>
              </w:rPr>
            </w:pPr>
          </w:p>
        </w:tc>
        <w:tc>
          <w:tcPr>
            <w:tcW w:w="4410" w:type="dxa"/>
          </w:tcPr>
          <w:p w14:paraId="19216619" w14:textId="77777777" w:rsidR="001C5328" w:rsidRPr="00843D2B" w:rsidRDefault="001C5328" w:rsidP="003E3CEB">
            <w:pPr>
              <w:spacing w:line="360" w:lineRule="auto"/>
              <w:jc w:val="center"/>
              <w:rPr>
                <w:rFonts w:cs="Times New Roman"/>
              </w:rPr>
            </w:pPr>
            <w:r w:rsidRPr="00E26E8C">
              <w:t>Civil Servants (ASN/TNI/</w:t>
            </w:r>
            <w:proofErr w:type="spellStart"/>
            <w:r w:rsidRPr="00E26E8C">
              <w:t>Polri</w:t>
            </w:r>
            <w:proofErr w:type="spellEnd"/>
            <w:r w:rsidRPr="00E26E8C">
              <w:t>)</w:t>
            </w:r>
          </w:p>
        </w:tc>
        <w:tc>
          <w:tcPr>
            <w:tcW w:w="990" w:type="dxa"/>
          </w:tcPr>
          <w:p w14:paraId="31568C79" w14:textId="77777777" w:rsidR="001C5328" w:rsidRPr="00843D2B" w:rsidRDefault="001C5328" w:rsidP="003E3CEB">
            <w:pPr>
              <w:spacing w:line="360" w:lineRule="auto"/>
              <w:jc w:val="center"/>
              <w:rPr>
                <w:rFonts w:cs="Times New Roman"/>
              </w:rPr>
            </w:pPr>
            <w:r w:rsidRPr="005B4D44">
              <w:t>14</w:t>
            </w:r>
          </w:p>
        </w:tc>
        <w:tc>
          <w:tcPr>
            <w:tcW w:w="1620" w:type="dxa"/>
          </w:tcPr>
          <w:p w14:paraId="6057CB0E" w14:textId="77777777" w:rsidR="001C5328" w:rsidRPr="00843D2B" w:rsidRDefault="001C5328" w:rsidP="003E3CEB">
            <w:pPr>
              <w:spacing w:line="360" w:lineRule="auto"/>
              <w:jc w:val="center"/>
              <w:rPr>
                <w:rFonts w:cs="Times New Roman"/>
              </w:rPr>
            </w:pPr>
            <w:r w:rsidRPr="005B4D44">
              <w:t>13.5</w:t>
            </w:r>
            <w:r>
              <w:t>%</w:t>
            </w:r>
          </w:p>
        </w:tc>
      </w:tr>
      <w:tr w:rsidR="001C5328" w14:paraId="64F140E8" w14:textId="77777777" w:rsidTr="003E3CEB">
        <w:tc>
          <w:tcPr>
            <w:tcW w:w="1255" w:type="dxa"/>
            <w:vMerge/>
          </w:tcPr>
          <w:p w14:paraId="179046A3" w14:textId="77777777" w:rsidR="001C5328" w:rsidRPr="00843D2B" w:rsidRDefault="001C5328" w:rsidP="003E3CEB">
            <w:pPr>
              <w:spacing w:line="360" w:lineRule="auto"/>
              <w:jc w:val="center"/>
              <w:rPr>
                <w:rFonts w:cs="Times New Roman"/>
              </w:rPr>
            </w:pPr>
          </w:p>
        </w:tc>
        <w:tc>
          <w:tcPr>
            <w:tcW w:w="4410" w:type="dxa"/>
          </w:tcPr>
          <w:p w14:paraId="14F2901E" w14:textId="77777777" w:rsidR="001C5328" w:rsidRPr="00843D2B" w:rsidRDefault="001C5328" w:rsidP="003E3CEB">
            <w:pPr>
              <w:spacing w:line="360" w:lineRule="auto"/>
              <w:jc w:val="center"/>
              <w:rPr>
                <w:rFonts w:cs="Times New Roman"/>
              </w:rPr>
            </w:pPr>
            <w:r w:rsidRPr="00E26E8C">
              <w:t>Private Sector Employees</w:t>
            </w:r>
          </w:p>
        </w:tc>
        <w:tc>
          <w:tcPr>
            <w:tcW w:w="990" w:type="dxa"/>
          </w:tcPr>
          <w:p w14:paraId="388F8B84" w14:textId="77777777" w:rsidR="001C5328" w:rsidRPr="00843D2B" w:rsidRDefault="001C5328" w:rsidP="003E3CEB">
            <w:pPr>
              <w:spacing w:line="360" w:lineRule="auto"/>
              <w:jc w:val="center"/>
              <w:rPr>
                <w:rFonts w:cs="Times New Roman"/>
              </w:rPr>
            </w:pPr>
            <w:r w:rsidRPr="005B4D44">
              <w:t>36</w:t>
            </w:r>
          </w:p>
        </w:tc>
        <w:tc>
          <w:tcPr>
            <w:tcW w:w="1620" w:type="dxa"/>
          </w:tcPr>
          <w:p w14:paraId="75E81EC4" w14:textId="77777777" w:rsidR="001C5328" w:rsidRPr="00843D2B" w:rsidRDefault="001C5328" w:rsidP="003E3CEB">
            <w:pPr>
              <w:spacing w:line="360" w:lineRule="auto"/>
              <w:jc w:val="center"/>
              <w:rPr>
                <w:rFonts w:cs="Times New Roman"/>
              </w:rPr>
            </w:pPr>
            <w:r w:rsidRPr="005B4D44">
              <w:t>34.6</w:t>
            </w:r>
            <w:r>
              <w:t>%</w:t>
            </w:r>
          </w:p>
        </w:tc>
      </w:tr>
      <w:tr w:rsidR="001C5328" w14:paraId="230ABF45" w14:textId="77777777" w:rsidTr="003E3CEB">
        <w:tc>
          <w:tcPr>
            <w:tcW w:w="1255" w:type="dxa"/>
            <w:vMerge/>
          </w:tcPr>
          <w:p w14:paraId="1654004A" w14:textId="77777777" w:rsidR="001C5328" w:rsidRPr="00843D2B" w:rsidRDefault="001C5328" w:rsidP="003E3CEB">
            <w:pPr>
              <w:spacing w:line="360" w:lineRule="auto"/>
              <w:jc w:val="center"/>
              <w:rPr>
                <w:rFonts w:cs="Times New Roman"/>
              </w:rPr>
            </w:pPr>
          </w:p>
        </w:tc>
        <w:tc>
          <w:tcPr>
            <w:tcW w:w="4410" w:type="dxa"/>
          </w:tcPr>
          <w:p w14:paraId="2F9BE1F6" w14:textId="77777777" w:rsidR="001C5328" w:rsidRPr="00843D2B" w:rsidRDefault="001C5328" w:rsidP="003E3CEB">
            <w:pPr>
              <w:spacing w:line="360" w:lineRule="auto"/>
              <w:jc w:val="center"/>
              <w:rPr>
                <w:rFonts w:cs="Times New Roman"/>
              </w:rPr>
            </w:pPr>
            <w:r w:rsidRPr="00E26E8C">
              <w:t>Students</w:t>
            </w:r>
          </w:p>
        </w:tc>
        <w:tc>
          <w:tcPr>
            <w:tcW w:w="990" w:type="dxa"/>
          </w:tcPr>
          <w:p w14:paraId="0A38745C" w14:textId="77777777" w:rsidR="001C5328" w:rsidRPr="00843D2B" w:rsidRDefault="001C5328" w:rsidP="003E3CEB">
            <w:pPr>
              <w:spacing w:line="360" w:lineRule="auto"/>
              <w:jc w:val="center"/>
              <w:rPr>
                <w:rFonts w:cs="Times New Roman"/>
              </w:rPr>
            </w:pPr>
            <w:r w:rsidRPr="005B4D44">
              <w:t>30</w:t>
            </w:r>
          </w:p>
        </w:tc>
        <w:tc>
          <w:tcPr>
            <w:tcW w:w="1620" w:type="dxa"/>
          </w:tcPr>
          <w:p w14:paraId="32D4A6AB" w14:textId="77777777" w:rsidR="001C5328" w:rsidRPr="00843D2B" w:rsidRDefault="001C5328" w:rsidP="003E3CEB">
            <w:pPr>
              <w:spacing w:line="360" w:lineRule="auto"/>
              <w:jc w:val="center"/>
              <w:rPr>
                <w:rFonts w:cs="Times New Roman"/>
              </w:rPr>
            </w:pPr>
            <w:r w:rsidRPr="005B4D44">
              <w:t>28.8</w:t>
            </w:r>
            <w:r>
              <w:t>%</w:t>
            </w:r>
          </w:p>
        </w:tc>
      </w:tr>
      <w:tr w:rsidR="001C5328" w14:paraId="3853D47E" w14:textId="77777777" w:rsidTr="003E3CEB">
        <w:tc>
          <w:tcPr>
            <w:tcW w:w="1255" w:type="dxa"/>
            <w:vMerge/>
          </w:tcPr>
          <w:p w14:paraId="6E58890A" w14:textId="77777777" w:rsidR="001C5328" w:rsidRPr="00843D2B" w:rsidRDefault="001C5328" w:rsidP="003E3CEB">
            <w:pPr>
              <w:spacing w:line="360" w:lineRule="auto"/>
              <w:jc w:val="center"/>
              <w:rPr>
                <w:rFonts w:cs="Times New Roman"/>
              </w:rPr>
            </w:pPr>
          </w:p>
        </w:tc>
        <w:tc>
          <w:tcPr>
            <w:tcW w:w="4410" w:type="dxa"/>
          </w:tcPr>
          <w:p w14:paraId="558E2FB4" w14:textId="77777777" w:rsidR="001C5328" w:rsidRPr="00843D2B" w:rsidRDefault="001C5328" w:rsidP="003E3CEB">
            <w:pPr>
              <w:spacing w:line="360" w:lineRule="auto"/>
              <w:jc w:val="center"/>
              <w:rPr>
                <w:rFonts w:cs="Times New Roman"/>
              </w:rPr>
            </w:pPr>
            <w:r w:rsidRPr="00E26E8C">
              <w:t>Entrepreneurs</w:t>
            </w:r>
          </w:p>
        </w:tc>
        <w:tc>
          <w:tcPr>
            <w:tcW w:w="990" w:type="dxa"/>
          </w:tcPr>
          <w:p w14:paraId="4AC8FBF5" w14:textId="77777777" w:rsidR="001C5328" w:rsidRPr="00843D2B" w:rsidRDefault="001C5328" w:rsidP="003E3CEB">
            <w:pPr>
              <w:spacing w:line="360" w:lineRule="auto"/>
              <w:jc w:val="center"/>
              <w:rPr>
                <w:rFonts w:cs="Times New Roman"/>
              </w:rPr>
            </w:pPr>
            <w:r w:rsidRPr="005B4D44">
              <w:t>13</w:t>
            </w:r>
          </w:p>
        </w:tc>
        <w:tc>
          <w:tcPr>
            <w:tcW w:w="1620" w:type="dxa"/>
          </w:tcPr>
          <w:p w14:paraId="1B76D19A" w14:textId="77777777" w:rsidR="001C5328" w:rsidRPr="00843D2B" w:rsidRDefault="001C5328" w:rsidP="003E3CEB">
            <w:pPr>
              <w:spacing w:line="360" w:lineRule="auto"/>
              <w:jc w:val="center"/>
              <w:rPr>
                <w:rFonts w:cs="Times New Roman"/>
              </w:rPr>
            </w:pPr>
            <w:r w:rsidRPr="005B4D44">
              <w:t>12.5</w:t>
            </w:r>
            <w:r>
              <w:t>%</w:t>
            </w:r>
          </w:p>
        </w:tc>
      </w:tr>
      <w:tr w:rsidR="001C5328" w14:paraId="1728C160" w14:textId="77777777" w:rsidTr="003E3CEB">
        <w:tc>
          <w:tcPr>
            <w:tcW w:w="1255" w:type="dxa"/>
            <w:vMerge w:val="restart"/>
          </w:tcPr>
          <w:p w14:paraId="030BAD8F" w14:textId="77777777" w:rsidR="001C5328" w:rsidRPr="00843D2B" w:rsidRDefault="001C5328" w:rsidP="003E3CEB">
            <w:pPr>
              <w:spacing w:line="360" w:lineRule="auto"/>
              <w:jc w:val="center"/>
              <w:rPr>
                <w:rFonts w:cs="Times New Roman"/>
              </w:rPr>
            </w:pPr>
            <w:r>
              <w:rPr>
                <w:rFonts w:cs="Times New Roman"/>
              </w:rPr>
              <w:t>Income</w:t>
            </w:r>
          </w:p>
        </w:tc>
        <w:tc>
          <w:tcPr>
            <w:tcW w:w="4410" w:type="dxa"/>
          </w:tcPr>
          <w:p w14:paraId="720DFADF" w14:textId="77777777" w:rsidR="001C5328" w:rsidRPr="00843D2B" w:rsidRDefault="001C5328" w:rsidP="003E3CEB">
            <w:pPr>
              <w:spacing w:line="360" w:lineRule="auto"/>
              <w:jc w:val="center"/>
              <w:rPr>
                <w:rFonts w:cs="Times New Roman"/>
              </w:rPr>
            </w:pPr>
            <w:r w:rsidRPr="00C506DB">
              <w:t xml:space="preserve">&lt; </w:t>
            </w:r>
            <w:r>
              <w:t>IDR</w:t>
            </w:r>
            <w:r w:rsidRPr="00C506DB">
              <w:t xml:space="preserve"> 4 </w:t>
            </w:r>
            <w:r>
              <w:t>million</w:t>
            </w:r>
          </w:p>
        </w:tc>
        <w:tc>
          <w:tcPr>
            <w:tcW w:w="990" w:type="dxa"/>
          </w:tcPr>
          <w:p w14:paraId="1D5E3880" w14:textId="77777777" w:rsidR="001C5328" w:rsidRPr="00843D2B" w:rsidRDefault="001C5328" w:rsidP="003E3CEB">
            <w:pPr>
              <w:spacing w:line="360" w:lineRule="auto"/>
              <w:jc w:val="center"/>
              <w:rPr>
                <w:rFonts w:cs="Times New Roman"/>
              </w:rPr>
            </w:pPr>
            <w:r w:rsidRPr="00C506DB">
              <w:t>36</w:t>
            </w:r>
          </w:p>
        </w:tc>
        <w:tc>
          <w:tcPr>
            <w:tcW w:w="1620" w:type="dxa"/>
          </w:tcPr>
          <w:p w14:paraId="42AA37BA" w14:textId="77777777" w:rsidR="001C5328" w:rsidRPr="00843D2B" w:rsidRDefault="001C5328" w:rsidP="003E3CEB">
            <w:pPr>
              <w:spacing w:line="360" w:lineRule="auto"/>
              <w:jc w:val="center"/>
              <w:rPr>
                <w:rFonts w:cs="Times New Roman"/>
              </w:rPr>
            </w:pPr>
            <w:r w:rsidRPr="00C506DB">
              <w:t>34.6</w:t>
            </w:r>
            <w:r>
              <w:t>%</w:t>
            </w:r>
          </w:p>
        </w:tc>
      </w:tr>
      <w:tr w:rsidR="001C5328" w14:paraId="68014D06" w14:textId="77777777" w:rsidTr="003E3CEB">
        <w:tc>
          <w:tcPr>
            <w:tcW w:w="1255" w:type="dxa"/>
            <w:vMerge/>
          </w:tcPr>
          <w:p w14:paraId="118F3B72" w14:textId="77777777" w:rsidR="001C5328" w:rsidRPr="00843D2B" w:rsidRDefault="001C5328" w:rsidP="003E3CEB">
            <w:pPr>
              <w:spacing w:line="360" w:lineRule="auto"/>
              <w:jc w:val="center"/>
              <w:rPr>
                <w:rFonts w:cs="Times New Roman"/>
              </w:rPr>
            </w:pPr>
          </w:p>
        </w:tc>
        <w:tc>
          <w:tcPr>
            <w:tcW w:w="4410" w:type="dxa"/>
          </w:tcPr>
          <w:p w14:paraId="3EE84766" w14:textId="77777777" w:rsidR="001C5328" w:rsidRPr="00843D2B" w:rsidRDefault="001C5328" w:rsidP="003E3CEB">
            <w:pPr>
              <w:spacing w:line="360" w:lineRule="auto"/>
              <w:jc w:val="center"/>
              <w:rPr>
                <w:rFonts w:cs="Times New Roman"/>
              </w:rPr>
            </w:pPr>
            <w:r w:rsidRPr="00C506DB">
              <w:t xml:space="preserve">&gt; </w:t>
            </w:r>
            <w:r>
              <w:t>IDR</w:t>
            </w:r>
            <w:r w:rsidRPr="00C506DB">
              <w:t xml:space="preserve">. 12 </w:t>
            </w:r>
            <w:r>
              <w:t>million</w:t>
            </w:r>
          </w:p>
        </w:tc>
        <w:tc>
          <w:tcPr>
            <w:tcW w:w="990" w:type="dxa"/>
          </w:tcPr>
          <w:p w14:paraId="7007FCBA" w14:textId="77777777" w:rsidR="001C5328" w:rsidRPr="00843D2B" w:rsidRDefault="001C5328" w:rsidP="003E3CEB">
            <w:pPr>
              <w:spacing w:line="360" w:lineRule="auto"/>
              <w:jc w:val="center"/>
              <w:rPr>
                <w:rFonts w:cs="Times New Roman"/>
              </w:rPr>
            </w:pPr>
            <w:r w:rsidRPr="00C506DB">
              <w:t>3</w:t>
            </w:r>
          </w:p>
        </w:tc>
        <w:tc>
          <w:tcPr>
            <w:tcW w:w="1620" w:type="dxa"/>
          </w:tcPr>
          <w:p w14:paraId="7D776241" w14:textId="77777777" w:rsidR="001C5328" w:rsidRPr="00843D2B" w:rsidRDefault="001C5328" w:rsidP="003E3CEB">
            <w:pPr>
              <w:spacing w:line="360" w:lineRule="auto"/>
              <w:jc w:val="center"/>
              <w:rPr>
                <w:rFonts w:cs="Times New Roman"/>
              </w:rPr>
            </w:pPr>
            <w:r w:rsidRPr="00C506DB">
              <w:t>2.9</w:t>
            </w:r>
            <w:r>
              <w:t>%</w:t>
            </w:r>
          </w:p>
        </w:tc>
      </w:tr>
      <w:tr w:rsidR="001C5328" w14:paraId="3140F256" w14:textId="77777777" w:rsidTr="003E3CEB">
        <w:tc>
          <w:tcPr>
            <w:tcW w:w="1255" w:type="dxa"/>
            <w:vMerge/>
          </w:tcPr>
          <w:p w14:paraId="14F4D14C" w14:textId="77777777" w:rsidR="001C5328" w:rsidRPr="00843D2B" w:rsidRDefault="001C5328" w:rsidP="003E3CEB">
            <w:pPr>
              <w:spacing w:line="360" w:lineRule="auto"/>
              <w:jc w:val="center"/>
              <w:rPr>
                <w:rFonts w:cs="Times New Roman"/>
              </w:rPr>
            </w:pPr>
          </w:p>
        </w:tc>
        <w:tc>
          <w:tcPr>
            <w:tcW w:w="4410" w:type="dxa"/>
          </w:tcPr>
          <w:p w14:paraId="0F0E1C97" w14:textId="77777777" w:rsidR="001C5328" w:rsidRPr="00843D2B" w:rsidRDefault="001C5328" w:rsidP="003E3CEB">
            <w:pPr>
              <w:spacing w:line="360" w:lineRule="auto"/>
              <w:jc w:val="center"/>
              <w:rPr>
                <w:rFonts w:cs="Times New Roman"/>
              </w:rPr>
            </w:pPr>
            <w:r>
              <w:t>IDR</w:t>
            </w:r>
            <w:r w:rsidRPr="00C506DB">
              <w:t xml:space="preserve">. 5 - 8 </w:t>
            </w:r>
            <w:r>
              <w:t>million</w:t>
            </w:r>
          </w:p>
        </w:tc>
        <w:tc>
          <w:tcPr>
            <w:tcW w:w="990" w:type="dxa"/>
          </w:tcPr>
          <w:p w14:paraId="2B6B8760" w14:textId="77777777" w:rsidR="001C5328" w:rsidRPr="00843D2B" w:rsidRDefault="001C5328" w:rsidP="003E3CEB">
            <w:pPr>
              <w:spacing w:line="360" w:lineRule="auto"/>
              <w:jc w:val="center"/>
              <w:rPr>
                <w:rFonts w:cs="Times New Roman"/>
              </w:rPr>
            </w:pPr>
            <w:r w:rsidRPr="00C506DB">
              <w:t>42</w:t>
            </w:r>
          </w:p>
        </w:tc>
        <w:tc>
          <w:tcPr>
            <w:tcW w:w="1620" w:type="dxa"/>
          </w:tcPr>
          <w:p w14:paraId="57354265" w14:textId="77777777" w:rsidR="001C5328" w:rsidRPr="00843D2B" w:rsidRDefault="001C5328" w:rsidP="003E3CEB">
            <w:pPr>
              <w:spacing w:line="360" w:lineRule="auto"/>
              <w:jc w:val="center"/>
              <w:rPr>
                <w:rFonts w:cs="Times New Roman"/>
              </w:rPr>
            </w:pPr>
            <w:r w:rsidRPr="00C506DB">
              <w:t>40.4</w:t>
            </w:r>
            <w:r>
              <w:t>%</w:t>
            </w:r>
          </w:p>
        </w:tc>
      </w:tr>
      <w:tr w:rsidR="001C5328" w14:paraId="6D9D6E26" w14:textId="77777777" w:rsidTr="003E3CEB">
        <w:tc>
          <w:tcPr>
            <w:tcW w:w="1255" w:type="dxa"/>
            <w:vMerge/>
          </w:tcPr>
          <w:p w14:paraId="239D9853" w14:textId="77777777" w:rsidR="001C5328" w:rsidRPr="00843D2B" w:rsidRDefault="001C5328" w:rsidP="003E3CEB">
            <w:pPr>
              <w:spacing w:line="360" w:lineRule="auto"/>
              <w:jc w:val="center"/>
              <w:rPr>
                <w:rFonts w:cs="Times New Roman"/>
              </w:rPr>
            </w:pPr>
          </w:p>
        </w:tc>
        <w:tc>
          <w:tcPr>
            <w:tcW w:w="4410" w:type="dxa"/>
          </w:tcPr>
          <w:p w14:paraId="6FE95BC6" w14:textId="77777777" w:rsidR="001C5328" w:rsidRPr="00843D2B" w:rsidRDefault="001C5328" w:rsidP="003E3CEB">
            <w:pPr>
              <w:spacing w:line="360" w:lineRule="auto"/>
              <w:jc w:val="center"/>
              <w:rPr>
                <w:rFonts w:cs="Times New Roman"/>
              </w:rPr>
            </w:pPr>
            <w:r>
              <w:t>IDR</w:t>
            </w:r>
            <w:r w:rsidRPr="00C506DB">
              <w:t xml:space="preserve">. 9 - 12 </w:t>
            </w:r>
            <w:r>
              <w:t>million</w:t>
            </w:r>
          </w:p>
        </w:tc>
        <w:tc>
          <w:tcPr>
            <w:tcW w:w="990" w:type="dxa"/>
          </w:tcPr>
          <w:p w14:paraId="6672C0E6" w14:textId="77777777" w:rsidR="001C5328" w:rsidRPr="00843D2B" w:rsidRDefault="001C5328" w:rsidP="003E3CEB">
            <w:pPr>
              <w:spacing w:line="360" w:lineRule="auto"/>
              <w:jc w:val="center"/>
              <w:rPr>
                <w:rFonts w:cs="Times New Roman"/>
              </w:rPr>
            </w:pPr>
            <w:r w:rsidRPr="00C506DB">
              <w:t>23</w:t>
            </w:r>
          </w:p>
        </w:tc>
        <w:tc>
          <w:tcPr>
            <w:tcW w:w="1620" w:type="dxa"/>
          </w:tcPr>
          <w:p w14:paraId="5B5F2F10" w14:textId="77777777" w:rsidR="001C5328" w:rsidRPr="00843D2B" w:rsidRDefault="001C5328" w:rsidP="003E3CEB">
            <w:pPr>
              <w:spacing w:line="360" w:lineRule="auto"/>
              <w:jc w:val="center"/>
              <w:rPr>
                <w:rFonts w:cs="Times New Roman"/>
              </w:rPr>
            </w:pPr>
            <w:r w:rsidRPr="00C506DB">
              <w:t>22.1</w:t>
            </w:r>
            <w:r>
              <w:t>%</w:t>
            </w:r>
          </w:p>
        </w:tc>
      </w:tr>
      <w:tr w:rsidR="001C5328" w14:paraId="431C587A" w14:textId="77777777" w:rsidTr="003E3CEB">
        <w:tc>
          <w:tcPr>
            <w:tcW w:w="1255" w:type="dxa"/>
            <w:vMerge w:val="restart"/>
          </w:tcPr>
          <w:p w14:paraId="4B9792E0" w14:textId="77777777" w:rsidR="001C5328" w:rsidRPr="00843D2B" w:rsidRDefault="001C5328" w:rsidP="003E3CEB">
            <w:pPr>
              <w:spacing w:line="360" w:lineRule="auto"/>
              <w:jc w:val="center"/>
              <w:rPr>
                <w:rFonts w:cs="Times New Roman"/>
              </w:rPr>
            </w:pPr>
            <w:r>
              <w:rPr>
                <w:rFonts w:cs="Times New Roman"/>
              </w:rPr>
              <w:t>Intensity to buy</w:t>
            </w:r>
          </w:p>
        </w:tc>
        <w:tc>
          <w:tcPr>
            <w:tcW w:w="4410" w:type="dxa"/>
          </w:tcPr>
          <w:p w14:paraId="10EA8AF2" w14:textId="77777777" w:rsidR="001C5328" w:rsidRPr="00843D2B" w:rsidRDefault="001C5328" w:rsidP="003E3CEB">
            <w:pPr>
              <w:spacing w:line="360" w:lineRule="auto"/>
              <w:jc w:val="center"/>
              <w:rPr>
                <w:rFonts w:cs="Times New Roman"/>
              </w:rPr>
            </w:pPr>
            <w:r w:rsidRPr="00184B9F">
              <w:t xml:space="preserve">2–3 </w:t>
            </w:r>
          </w:p>
        </w:tc>
        <w:tc>
          <w:tcPr>
            <w:tcW w:w="990" w:type="dxa"/>
          </w:tcPr>
          <w:p w14:paraId="10E12B27" w14:textId="77777777" w:rsidR="001C5328" w:rsidRPr="00843D2B" w:rsidRDefault="001C5328" w:rsidP="003E3CEB">
            <w:pPr>
              <w:spacing w:line="360" w:lineRule="auto"/>
              <w:jc w:val="center"/>
              <w:rPr>
                <w:rFonts w:cs="Times New Roman"/>
              </w:rPr>
            </w:pPr>
            <w:r w:rsidRPr="00184B9F">
              <w:t>59</w:t>
            </w:r>
          </w:p>
        </w:tc>
        <w:tc>
          <w:tcPr>
            <w:tcW w:w="1620" w:type="dxa"/>
          </w:tcPr>
          <w:p w14:paraId="2941245A" w14:textId="77777777" w:rsidR="001C5328" w:rsidRPr="00843D2B" w:rsidRDefault="001C5328" w:rsidP="003E3CEB">
            <w:pPr>
              <w:spacing w:line="360" w:lineRule="auto"/>
              <w:jc w:val="center"/>
              <w:rPr>
                <w:rFonts w:cs="Times New Roman"/>
              </w:rPr>
            </w:pPr>
            <w:r w:rsidRPr="00184B9F">
              <w:t>56.7</w:t>
            </w:r>
            <w:r>
              <w:t>%</w:t>
            </w:r>
          </w:p>
        </w:tc>
      </w:tr>
      <w:tr w:rsidR="001C5328" w14:paraId="66C03562" w14:textId="77777777" w:rsidTr="003E3CEB">
        <w:tc>
          <w:tcPr>
            <w:tcW w:w="1255" w:type="dxa"/>
            <w:vMerge/>
          </w:tcPr>
          <w:p w14:paraId="317B1A9C" w14:textId="77777777" w:rsidR="001C5328" w:rsidRPr="00843D2B" w:rsidRDefault="001C5328" w:rsidP="003E3CEB">
            <w:pPr>
              <w:spacing w:line="360" w:lineRule="auto"/>
              <w:jc w:val="center"/>
              <w:rPr>
                <w:rFonts w:cs="Times New Roman"/>
              </w:rPr>
            </w:pPr>
          </w:p>
        </w:tc>
        <w:tc>
          <w:tcPr>
            <w:tcW w:w="4410" w:type="dxa"/>
          </w:tcPr>
          <w:p w14:paraId="5AB8A7CA" w14:textId="77777777" w:rsidR="001C5328" w:rsidRPr="00843D2B" w:rsidRDefault="001C5328" w:rsidP="003E3CEB">
            <w:pPr>
              <w:spacing w:line="360" w:lineRule="auto"/>
              <w:jc w:val="center"/>
              <w:rPr>
                <w:rFonts w:cs="Times New Roman"/>
              </w:rPr>
            </w:pPr>
            <w:r w:rsidRPr="00184B9F">
              <w:t xml:space="preserve">4–5 </w:t>
            </w:r>
          </w:p>
        </w:tc>
        <w:tc>
          <w:tcPr>
            <w:tcW w:w="990" w:type="dxa"/>
          </w:tcPr>
          <w:p w14:paraId="7909D768" w14:textId="77777777" w:rsidR="001C5328" w:rsidRPr="00843D2B" w:rsidRDefault="001C5328" w:rsidP="003E3CEB">
            <w:pPr>
              <w:spacing w:line="360" w:lineRule="auto"/>
              <w:jc w:val="center"/>
              <w:rPr>
                <w:rFonts w:cs="Times New Roman"/>
              </w:rPr>
            </w:pPr>
            <w:r w:rsidRPr="00184B9F">
              <w:t>22</w:t>
            </w:r>
          </w:p>
        </w:tc>
        <w:tc>
          <w:tcPr>
            <w:tcW w:w="1620" w:type="dxa"/>
          </w:tcPr>
          <w:p w14:paraId="0999A79F" w14:textId="77777777" w:rsidR="001C5328" w:rsidRPr="00843D2B" w:rsidRDefault="001C5328" w:rsidP="003E3CEB">
            <w:pPr>
              <w:spacing w:line="360" w:lineRule="auto"/>
              <w:jc w:val="center"/>
              <w:rPr>
                <w:rFonts w:cs="Times New Roman"/>
              </w:rPr>
            </w:pPr>
            <w:r w:rsidRPr="00184B9F">
              <w:t>21.2</w:t>
            </w:r>
            <w:r>
              <w:t>%</w:t>
            </w:r>
          </w:p>
        </w:tc>
      </w:tr>
      <w:tr w:rsidR="001C5328" w14:paraId="13B2A771" w14:textId="77777777" w:rsidTr="003E3CEB">
        <w:tc>
          <w:tcPr>
            <w:tcW w:w="1255" w:type="dxa"/>
            <w:vMerge/>
          </w:tcPr>
          <w:p w14:paraId="76CCDA66" w14:textId="77777777" w:rsidR="001C5328" w:rsidRPr="00843D2B" w:rsidRDefault="001C5328" w:rsidP="003E3CEB">
            <w:pPr>
              <w:spacing w:line="360" w:lineRule="auto"/>
              <w:jc w:val="center"/>
              <w:rPr>
                <w:rFonts w:cs="Times New Roman"/>
              </w:rPr>
            </w:pPr>
          </w:p>
        </w:tc>
        <w:tc>
          <w:tcPr>
            <w:tcW w:w="4410" w:type="dxa"/>
          </w:tcPr>
          <w:p w14:paraId="2BE3672E" w14:textId="77777777" w:rsidR="001C5328" w:rsidRPr="00843D2B" w:rsidRDefault="001C5328" w:rsidP="003E3CEB">
            <w:pPr>
              <w:spacing w:line="360" w:lineRule="auto"/>
              <w:jc w:val="center"/>
              <w:rPr>
                <w:rFonts w:cs="Times New Roman"/>
              </w:rPr>
            </w:pPr>
            <w:r w:rsidRPr="00184B9F">
              <w:t xml:space="preserve">6–7 </w:t>
            </w:r>
          </w:p>
        </w:tc>
        <w:tc>
          <w:tcPr>
            <w:tcW w:w="990" w:type="dxa"/>
          </w:tcPr>
          <w:p w14:paraId="4DFA0762" w14:textId="77777777" w:rsidR="001C5328" w:rsidRPr="00843D2B" w:rsidRDefault="001C5328" w:rsidP="003E3CEB">
            <w:pPr>
              <w:spacing w:line="360" w:lineRule="auto"/>
              <w:jc w:val="center"/>
              <w:rPr>
                <w:rFonts w:cs="Times New Roman"/>
              </w:rPr>
            </w:pPr>
            <w:r w:rsidRPr="00184B9F">
              <w:t>12</w:t>
            </w:r>
          </w:p>
        </w:tc>
        <w:tc>
          <w:tcPr>
            <w:tcW w:w="1620" w:type="dxa"/>
          </w:tcPr>
          <w:p w14:paraId="0BFA12DF" w14:textId="77777777" w:rsidR="001C5328" w:rsidRPr="00843D2B" w:rsidRDefault="001C5328" w:rsidP="003E3CEB">
            <w:pPr>
              <w:spacing w:line="360" w:lineRule="auto"/>
              <w:jc w:val="center"/>
              <w:rPr>
                <w:rFonts w:cs="Times New Roman"/>
              </w:rPr>
            </w:pPr>
            <w:r w:rsidRPr="00184B9F">
              <w:t>11.5</w:t>
            </w:r>
            <w:r>
              <w:t>%</w:t>
            </w:r>
          </w:p>
        </w:tc>
      </w:tr>
      <w:tr w:rsidR="001C5328" w14:paraId="19DC140A" w14:textId="77777777" w:rsidTr="003E3CEB">
        <w:tc>
          <w:tcPr>
            <w:tcW w:w="1255" w:type="dxa"/>
            <w:vMerge/>
          </w:tcPr>
          <w:p w14:paraId="47CE56E4" w14:textId="77777777" w:rsidR="001C5328" w:rsidRPr="00843D2B" w:rsidRDefault="001C5328" w:rsidP="003E3CEB">
            <w:pPr>
              <w:spacing w:line="360" w:lineRule="auto"/>
              <w:jc w:val="center"/>
              <w:rPr>
                <w:rFonts w:cs="Times New Roman"/>
              </w:rPr>
            </w:pPr>
          </w:p>
        </w:tc>
        <w:tc>
          <w:tcPr>
            <w:tcW w:w="4410" w:type="dxa"/>
          </w:tcPr>
          <w:p w14:paraId="51E8558C" w14:textId="77777777" w:rsidR="001C5328" w:rsidRPr="00843D2B" w:rsidRDefault="001C5328" w:rsidP="003E3CEB">
            <w:pPr>
              <w:spacing w:line="360" w:lineRule="auto"/>
              <w:jc w:val="center"/>
              <w:rPr>
                <w:rFonts w:cs="Times New Roman"/>
              </w:rPr>
            </w:pPr>
            <w:r>
              <w:t>At least</w:t>
            </w:r>
            <w:r w:rsidRPr="00184B9F">
              <w:t xml:space="preserve"> 1</w:t>
            </w:r>
          </w:p>
        </w:tc>
        <w:tc>
          <w:tcPr>
            <w:tcW w:w="990" w:type="dxa"/>
          </w:tcPr>
          <w:p w14:paraId="5926CB34" w14:textId="77777777" w:rsidR="001C5328" w:rsidRPr="00843D2B" w:rsidRDefault="001C5328" w:rsidP="003E3CEB">
            <w:pPr>
              <w:spacing w:line="360" w:lineRule="auto"/>
              <w:jc w:val="center"/>
              <w:rPr>
                <w:rFonts w:cs="Times New Roman"/>
              </w:rPr>
            </w:pPr>
            <w:r w:rsidRPr="00184B9F">
              <w:t>11</w:t>
            </w:r>
          </w:p>
        </w:tc>
        <w:tc>
          <w:tcPr>
            <w:tcW w:w="1620" w:type="dxa"/>
          </w:tcPr>
          <w:p w14:paraId="404E6095" w14:textId="77777777" w:rsidR="001C5328" w:rsidRPr="00843D2B" w:rsidRDefault="001C5328" w:rsidP="003E3CEB">
            <w:pPr>
              <w:spacing w:line="360" w:lineRule="auto"/>
              <w:jc w:val="center"/>
              <w:rPr>
                <w:rFonts w:cs="Times New Roman"/>
              </w:rPr>
            </w:pPr>
            <w:r w:rsidRPr="00184B9F">
              <w:t>10.6</w:t>
            </w:r>
            <w:r>
              <w:t>%</w:t>
            </w:r>
          </w:p>
        </w:tc>
      </w:tr>
      <w:tr w:rsidR="001C5328" w14:paraId="47422F05" w14:textId="77777777" w:rsidTr="003E3CEB">
        <w:tc>
          <w:tcPr>
            <w:tcW w:w="1255" w:type="dxa"/>
            <w:vMerge w:val="restart"/>
          </w:tcPr>
          <w:p w14:paraId="2AF98A4B" w14:textId="77777777" w:rsidR="001C5328" w:rsidRPr="00843D2B" w:rsidRDefault="001C5328" w:rsidP="003E3CEB">
            <w:pPr>
              <w:spacing w:line="360" w:lineRule="auto"/>
              <w:jc w:val="center"/>
              <w:rPr>
                <w:rFonts w:cs="Times New Roman"/>
              </w:rPr>
            </w:pPr>
            <w:r>
              <w:rPr>
                <w:rFonts w:cs="Times New Roman"/>
              </w:rPr>
              <w:lastRenderedPageBreak/>
              <w:t>Place to buy</w:t>
            </w:r>
          </w:p>
        </w:tc>
        <w:tc>
          <w:tcPr>
            <w:tcW w:w="4410" w:type="dxa"/>
          </w:tcPr>
          <w:p w14:paraId="423B1DBD" w14:textId="77777777" w:rsidR="001C5328" w:rsidRPr="00843D2B" w:rsidRDefault="001C5328" w:rsidP="003E3CEB">
            <w:pPr>
              <w:spacing w:line="360" w:lineRule="auto"/>
              <w:jc w:val="center"/>
              <w:rPr>
                <w:rFonts w:cs="Times New Roman"/>
              </w:rPr>
            </w:pPr>
            <w:r w:rsidRPr="001D10EE">
              <w:t>Offline Store</w:t>
            </w:r>
          </w:p>
        </w:tc>
        <w:tc>
          <w:tcPr>
            <w:tcW w:w="990" w:type="dxa"/>
          </w:tcPr>
          <w:p w14:paraId="70F0A1DE" w14:textId="77777777" w:rsidR="001C5328" w:rsidRPr="00843D2B" w:rsidRDefault="001C5328" w:rsidP="003E3CEB">
            <w:pPr>
              <w:spacing w:line="360" w:lineRule="auto"/>
              <w:jc w:val="center"/>
              <w:rPr>
                <w:rFonts w:cs="Times New Roman"/>
              </w:rPr>
            </w:pPr>
            <w:r w:rsidRPr="001D10EE">
              <w:t>75</w:t>
            </w:r>
          </w:p>
        </w:tc>
        <w:tc>
          <w:tcPr>
            <w:tcW w:w="1620" w:type="dxa"/>
          </w:tcPr>
          <w:p w14:paraId="5A7EA30E" w14:textId="77777777" w:rsidR="001C5328" w:rsidRPr="00843D2B" w:rsidRDefault="001C5328" w:rsidP="003E3CEB">
            <w:pPr>
              <w:spacing w:line="360" w:lineRule="auto"/>
              <w:jc w:val="center"/>
              <w:rPr>
                <w:rFonts w:cs="Times New Roman"/>
              </w:rPr>
            </w:pPr>
            <w:r w:rsidRPr="001D10EE">
              <w:t>72.1</w:t>
            </w:r>
            <w:r>
              <w:t>%</w:t>
            </w:r>
          </w:p>
        </w:tc>
      </w:tr>
      <w:tr w:rsidR="001C5328" w14:paraId="53A69720" w14:textId="77777777" w:rsidTr="003E3CEB">
        <w:tc>
          <w:tcPr>
            <w:tcW w:w="1255" w:type="dxa"/>
            <w:vMerge/>
          </w:tcPr>
          <w:p w14:paraId="5112B1FA" w14:textId="77777777" w:rsidR="001C5328" w:rsidRPr="00843D2B" w:rsidRDefault="001C5328" w:rsidP="003E3CEB">
            <w:pPr>
              <w:spacing w:line="360" w:lineRule="auto"/>
              <w:jc w:val="center"/>
              <w:rPr>
                <w:rFonts w:cs="Times New Roman"/>
              </w:rPr>
            </w:pPr>
          </w:p>
        </w:tc>
        <w:tc>
          <w:tcPr>
            <w:tcW w:w="4410" w:type="dxa"/>
          </w:tcPr>
          <w:p w14:paraId="55429185" w14:textId="77777777" w:rsidR="001C5328" w:rsidRPr="00843D2B" w:rsidRDefault="001C5328" w:rsidP="003E3CEB">
            <w:pPr>
              <w:spacing w:line="360" w:lineRule="auto"/>
              <w:jc w:val="center"/>
              <w:rPr>
                <w:rFonts w:cs="Times New Roman"/>
              </w:rPr>
            </w:pPr>
            <w:r w:rsidRPr="001D10EE">
              <w:t>Online Store</w:t>
            </w:r>
          </w:p>
        </w:tc>
        <w:tc>
          <w:tcPr>
            <w:tcW w:w="990" w:type="dxa"/>
          </w:tcPr>
          <w:p w14:paraId="75D58304" w14:textId="77777777" w:rsidR="001C5328" w:rsidRPr="00843D2B" w:rsidRDefault="001C5328" w:rsidP="003E3CEB">
            <w:pPr>
              <w:spacing w:line="360" w:lineRule="auto"/>
              <w:jc w:val="center"/>
              <w:rPr>
                <w:rFonts w:cs="Times New Roman"/>
              </w:rPr>
            </w:pPr>
            <w:r w:rsidRPr="001D10EE">
              <w:t>29</w:t>
            </w:r>
          </w:p>
        </w:tc>
        <w:tc>
          <w:tcPr>
            <w:tcW w:w="1620" w:type="dxa"/>
          </w:tcPr>
          <w:p w14:paraId="1B101948" w14:textId="77777777" w:rsidR="001C5328" w:rsidRPr="00843D2B" w:rsidRDefault="001C5328" w:rsidP="003E3CEB">
            <w:pPr>
              <w:spacing w:line="360" w:lineRule="auto"/>
              <w:jc w:val="center"/>
              <w:rPr>
                <w:rFonts w:cs="Times New Roman"/>
              </w:rPr>
            </w:pPr>
            <w:r w:rsidRPr="001D10EE">
              <w:t>27.9</w:t>
            </w:r>
            <w:r>
              <w:t>%</w:t>
            </w:r>
          </w:p>
        </w:tc>
      </w:tr>
    </w:tbl>
    <w:p w14:paraId="39009AC4" w14:textId="77777777" w:rsidR="001C5328" w:rsidRDefault="001C5328" w:rsidP="001C5328">
      <w:pPr>
        <w:spacing w:line="480" w:lineRule="auto"/>
        <w:jc w:val="both"/>
        <w:rPr>
          <w:rFonts w:cs="Times New Roman"/>
          <w:b/>
          <w:bCs/>
        </w:rPr>
      </w:pPr>
    </w:p>
    <w:p w14:paraId="673E1982" w14:textId="77777777" w:rsidR="001C5328" w:rsidRDefault="001C5328" w:rsidP="001C5328">
      <w:pPr>
        <w:spacing w:line="480" w:lineRule="auto"/>
        <w:ind w:firstLine="720"/>
        <w:jc w:val="both"/>
        <w:rPr>
          <w:rFonts w:cs="Times New Roman"/>
        </w:rPr>
      </w:pPr>
      <w:r w:rsidRPr="00843D2B">
        <w:rPr>
          <w:rFonts w:cs="Times New Roman"/>
        </w:rPr>
        <w:t xml:space="preserve">Respondent demographic data shows that the majority of respondents are women as many as 59 people (56.7%), while men are 45 people (43.3%). This composition shows that </w:t>
      </w:r>
      <w:proofErr w:type="spellStart"/>
      <w:r w:rsidRPr="00843D2B">
        <w:rPr>
          <w:rFonts w:cs="Times New Roman"/>
        </w:rPr>
        <w:t>Sukkhacitta</w:t>
      </w:r>
      <w:proofErr w:type="spellEnd"/>
      <w:r w:rsidRPr="00843D2B">
        <w:rPr>
          <w:rFonts w:cs="Times New Roman"/>
        </w:rPr>
        <w:t xml:space="preserve"> Brand products are more responsive to women groups who generally have a higher interest in fashion products based on aesthetic and sustainability values. Based on age, respondents were dominated by the age groups of 17–25 years (39.4%) and 26–35 years (36.5%). This shows that the main consumers come from young productive age to early adulthood who tend to be more aware of </w:t>
      </w:r>
      <w:r w:rsidRPr="003C5EC8">
        <w:rPr>
          <w:rFonts w:cs="Times New Roman"/>
          <w:i/>
          <w:iCs/>
        </w:rPr>
        <w:t xml:space="preserve">fashion trends </w:t>
      </w:r>
      <w:r w:rsidRPr="00843D2B">
        <w:rPr>
          <w:rFonts w:cs="Times New Roman"/>
        </w:rPr>
        <w:t xml:space="preserve"> as well as environmental issues. The age group of 36–45 years (21.2%) is still quite significant, while the age under 17 years (1.9%) and over 45 years (1.0%) have a very small proportion.</w:t>
      </w:r>
    </w:p>
    <w:p w14:paraId="546574EE" w14:textId="77777777" w:rsidR="001C5328" w:rsidRPr="00843D2B" w:rsidRDefault="001C5328" w:rsidP="001C5328">
      <w:pPr>
        <w:spacing w:line="480" w:lineRule="auto"/>
        <w:ind w:firstLine="720"/>
        <w:jc w:val="both"/>
        <w:rPr>
          <w:rFonts w:cs="Times New Roman"/>
        </w:rPr>
      </w:pPr>
      <w:r w:rsidRPr="00843D2B">
        <w:rPr>
          <w:rFonts w:cs="Times New Roman"/>
        </w:rPr>
        <w:t>Based on occupation, the most respondents came from private sector employees (34.6%) and students (28.8%), followed by ASN/TNI/</w:t>
      </w:r>
      <w:proofErr w:type="spellStart"/>
      <w:r w:rsidRPr="00843D2B">
        <w:rPr>
          <w:rFonts w:cs="Times New Roman"/>
        </w:rPr>
        <w:t>Polri</w:t>
      </w:r>
      <w:proofErr w:type="spellEnd"/>
      <w:r w:rsidRPr="00843D2B">
        <w:rPr>
          <w:rFonts w:cs="Times New Roman"/>
        </w:rPr>
        <w:t xml:space="preserve"> (13.5%), entrepreneurs (12.5%), and freelancers (10.6%). This shows that interest in </w:t>
      </w:r>
      <w:proofErr w:type="spellStart"/>
      <w:r w:rsidRPr="00843D2B">
        <w:rPr>
          <w:rFonts w:cs="Times New Roman"/>
        </w:rPr>
        <w:t>Sukkhacitta</w:t>
      </w:r>
      <w:proofErr w:type="spellEnd"/>
      <w:r w:rsidRPr="00843D2B">
        <w:rPr>
          <w:rFonts w:cs="Times New Roman"/>
        </w:rPr>
        <w:t xml:space="preserve"> products is spread among groups with diverse work backgrounds, but it is dominated by workers and students who have high exposure to  sustainable </w:t>
      </w:r>
      <w:r w:rsidRPr="00642333">
        <w:rPr>
          <w:rFonts w:cs="Times New Roman"/>
          <w:i/>
          <w:iCs/>
        </w:rPr>
        <w:t>fashion</w:t>
      </w:r>
      <w:r w:rsidRPr="00843D2B">
        <w:rPr>
          <w:rFonts w:cs="Times New Roman"/>
        </w:rPr>
        <w:t xml:space="preserve"> trends  . Based on income, most respondents were in the range of IDR 5–8 million (40.4%) and below IDR 4 million (34.6%). These results show that </w:t>
      </w:r>
      <w:proofErr w:type="spellStart"/>
      <w:r w:rsidRPr="00843D2B">
        <w:rPr>
          <w:rFonts w:cs="Times New Roman"/>
        </w:rPr>
        <w:t>Sukkhacitta</w:t>
      </w:r>
      <w:proofErr w:type="spellEnd"/>
      <w:r w:rsidRPr="00843D2B">
        <w:rPr>
          <w:rFonts w:cs="Times New Roman"/>
        </w:rPr>
        <w:t xml:space="preserve"> products are widely reached by the middle class. The intensity of purchases is dominated by the frequency of 2-3 times (56.7%), while the place of purchase is more done in offline stores (72.1%) than online </w:t>
      </w:r>
      <w:r w:rsidRPr="00843D2B">
        <w:rPr>
          <w:rFonts w:cs="Times New Roman"/>
        </w:rPr>
        <w:lastRenderedPageBreak/>
        <w:t>stores (27.9%). This shows that first-hand experience of the product is still an important factor in purchasing decisions.</w:t>
      </w:r>
    </w:p>
    <w:p w14:paraId="5343AD18" w14:textId="77777777" w:rsidR="001C5328" w:rsidRDefault="001C5328" w:rsidP="001C5328">
      <w:pPr>
        <w:spacing w:line="480" w:lineRule="auto"/>
        <w:jc w:val="both"/>
        <w:rPr>
          <w:rFonts w:cs="Times New Roman"/>
          <w:b/>
          <w:bCs/>
        </w:rPr>
      </w:pPr>
      <w:r>
        <w:rPr>
          <w:rFonts w:cs="Times New Roman"/>
          <w:b/>
          <w:bCs/>
        </w:rPr>
        <w:br w:type="page"/>
      </w:r>
    </w:p>
    <w:p w14:paraId="497B5C74" w14:textId="77777777" w:rsidR="00A649AD" w:rsidRDefault="00A649AD"/>
    <w:sectPr w:rsidR="00A649AD" w:rsidSect="001C5328">
      <w:pgSz w:w="12240" w:h="15840"/>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328"/>
    <w:rsid w:val="001C5328"/>
    <w:rsid w:val="00287B4C"/>
    <w:rsid w:val="00665B11"/>
    <w:rsid w:val="00860617"/>
    <w:rsid w:val="00A649A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223A7154"/>
  <w15:chartTrackingRefBased/>
  <w15:docId w15:val="{D5FA0914-7424-4248-B42E-151F11F11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328"/>
    <w:pPr>
      <w:spacing w:after="0" w:line="240" w:lineRule="auto"/>
    </w:pPr>
    <w:rPr>
      <w:rFonts w:ascii="Times New Roman" w:hAnsi="Times New Roman"/>
      <w:kern w:val="0"/>
      <w14:ligatures w14:val="none"/>
    </w:rPr>
  </w:style>
  <w:style w:type="paragraph" w:styleId="Heading1">
    <w:name w:val="heading 1"/>
    <w:basedOn w:val="Normal"/>
    <w:next w:val="Normal"/>
    <w:link w:val="Heading1Char"/>
    <w:uiPriority w:val="9"/>
    <w:qFormat/>
    <w:rsid w:val="001C532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C532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C532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C5328"/>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C5328"/>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C5328"/>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C5328"/>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C5328"/>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C5328"/>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3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53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53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53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53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53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3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3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328"/>
    <w:rPr>
      <w:rFonts w:eastAsiaTheme="majorEastAsia" w:cstheme="majorBidi"/>
      <w:color w:val="272727" w:themeColor="text1" w:themeTint="D8"/>
    </w:rPr>
  </w:style>
  <w:style w:type="paragraph" w:styleId="Title">
    <w:name w:val="Title"/>
    <w:basedOn w:val="Normal"/>
    <w:next w:val="Normal"/>
    <w:link w:val="TitleChar"/>
    <w:uiPriority w:val="10"/>
    <w:qFormat/>
    <w:rsid w:val="001C532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C53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32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C53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328"/>
    <w:pPr>
      <w:spacing w:before="160" w:after="160" w:line="278" w:lineRule="auto"/>
      <w:jc w:val="center"/>
    </w:pPr>
    <w:rPr>
      <w:rFonts w:ascii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1C5328"/>
    <w:rPr>
      <w:i/>
      <w:iCs/>
      <w:color w:val="404040" w:themeColor="text1" w:themeTint="BF"/>
    </w:rPr>
  </w:style>
  <w:style w:type="paragraph" w:styleId="ListParagraph">
    <w:name w:val="List Paragraph"/>
    <w:basedOn w:val="Normal"/>
    <w:uiPriority w:val="34"/>
    <w:qFormat/>
    <w:rsid w:val="001C5328"/>
    <w:pPr>
      <w:spacing w:after="160" w:line="278" w:lineRule="auto"/>
      <w:ind w:left="720"/>
      <w:contextualSpacing/>
    </w:pPr>
    <w:rPr>
      <w:rFonts w:asciiTheme="minorHAnsi" w:hAnsiTheme="minorHAnsi"/>
      <w:kern w:val="2"/>
      <w14:ligatures w14:val="standardContextual"/>
    </w:rPr>
  </w:style>
  <w:style w:type="character" w:styleId="IntenseEmphasis">
    <w:name w:val="Intense Emphasis"/>
    <w:basedOn w:val="DefaultParagraphFont"/>
    <w:uiPriority w:val="21"/>
    <w:qFormat/>
    <w:rsid w:val="001C5328"/>
    <w:rPr>
      <w:i/>
      <w:iCs/>
      <w:color w:val="0F4761" w:themeColor="accent1" w:themeShade="BF"/>
    </w:rPr>
  </w:style>
  <w:style w:type="paragraph" w:styleId="IntenseQuote">
    <w:name w:val="Intense Quote"/>
    <w:basedOn w:val="Normal"/>
    <w:next w:val="Normal"/>
    <w:link w:val="IntenseQuoteChar"/>
    <w:uiPriority w:val="30"/>
    <w:qFormat/>
    <w:rsid w:val="001C532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C5328"/>
    <w:rPr>
      <w:i/>
      <w:iCs/>
      <w:color w:val="0F4761" w:themeColor="accent1" w:themeShade="BF"/>
    </w:rPr>
  </w:style>
  <w:style w:type="character" w:styleId="IntenseReference">
    <w:name w:val="Intense Reference"/>
    <w:basedOn w:val="DefaultParagraphFont"/>
    <w:uiPriority w:val="32"/>
    <w:qFormat/>
    <w:rsid w:val="001C5328"/>
    <w:rPr>
      <w:b/>
      <w:bCs/>
      <w:smallCaps/>
      <w:color w:val="0F4761" w:themeColor="accent1" w:themeShade="BF"/>
      <w:spacing w:val="5"/>
    </w:rPr>
  </w:style>
  <w:style w:type="table" w:styleId="TableGrid">
    <w:name w:val="Table Grid"/>
    <w:basedOn w:val="TableNormal"/>
    <w:uiPriority w:val="39"/>
    <w:rsid w:val="001C532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C5328"/>
    <w:pPr>
      <w:spacing w:after="200"/>
    </w:pPr>
    <w:rPr>
      <w:b/>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1170</Words>
  <Characters>7072</Characters>
  <Application>Microsoft Office Word</Application>
  <DocSecurity>0</DocSecurity>
  <Lines>252</Lines>
  <Paragraphs>179</Paragraphs>
  <ScaleCrop>false</ScaleCrop>
  <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malaika</dc:creator>
  <cp:keywords/>
  <dc:description/>
  <cp:lastModifiedBy>kayla malaika</cp:lastModifiedBy>
  <cp:revision>1</cp:revision>
  <dcterms:created xsi:type="dcterms:W3CDTF">2026-07-07T12:41:00Z</dcterms:created>
  <dcterms:modified xsi:type="dcterms:W3CDTF">2026-07-07T12:42:00Z</dcterms:modified>
</cp:coreProperties>
</file>