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BAFA68F" w14:textId="1FFF656A" w:rsidR="006B4AAD" w:rsidRPr="006B4AAD" w:rsidRDefault="006B4AAD" w:rsidP="006B4AAD">
      <w:pPr>
        <w:spacing w:before="100" w:beforeAutospacing="1" w:after="100" w:afterAutospacing="1" w:line="360" w:lineRule="auto"/>
        <w:jc w:val="center"/>
        <w:outlineLvl w:val="0"/>
        <w:rPr>
          <w:b/>
          <w:bCs/>
          <w:color w:val="000000"/>
          <w:kern w:val="36"/>
        </w:rPr>
      </w:pPr>
      <w:r w:rsidRPr="006B4AAD">
        <w:rPr>
          <w:b/>
          <w:bCs/>
          <w:color w:val="000000"/>
          <w:kern w:val="36"/>
        </w:rPr>
        <w:t xml:space="preserve">Ekspresi </w:t>
      </w:r>
      <w:r w:rsidRPr="006B4AAD">
        <w:rPr>
          <w:b/>
          <w:bCs/>
          <w:i/>
          <w:iCs/>
          <w:color w:val="000000"/>
          <w:kern w:val="36"/>
        </w:rPr>
        <w:t>mRNA SOX2</w:t>
      </w:r>
      <w:r w:rsidRPr="006B4AAD">
        <w:rPr>
          <w:b/>
          <w:bCs/>
          <w:color w:val="000000"/>
          <w:kern w:val="36"/>
        </w:rPr>
        <w:t xml:space="preserve"> dan </w:t>
      </w:r>
      <w:r w:rsidRPr="006B4AAD">
        <w:rPr>
          <w:b/>
          <w:bCs/>
          <w:i/>
          <w:iCs/>
          <w:color w:val="000000"/>
          <w:kern w:val="36"/>
        </w:rPr>
        <w:t>microRNA-21</w:t>
      </w:r>
      <w:r w:rsidRPr="006B4AAD">
        <w:rPr>
          <w:b/>
          <w:bCs/>
          <w:color w:val="000000"/>
          <w:kern w:val="36"/>
        </w:rPr>
        <w:t xml:space="preserve"> sebagai Biomarker Prognostik terhadap Disease-Free Survival dan Overall Survival pada Kanker Payudara Subtipe Luminal: Studi Kohort Retrospektif</w:t>
      </w:r>
    </w:p>
    <w:p w14:paraId="5C959809" w14:textId="77777777" w:rsidR="006B4AAD" w:rsidRPr="006B4AAD" w:rsidRDefault="006B4AAD" w:rsidP="006B4AAD">
      <w:pPr>
        <w:spacing w:before="100" w:beforeAutospacing="1" w:after="100" w:afterAutospacing="1" w:line="360" w:lineRule="auto"/>
        <w:jc w:val="center"/>
        <w:rPr>
          <w:color w:val="000000"/>
        </w:rPr>
      </w:pPr>
      <w:r w:rsidRPr="006B4AAD">
        <w:rPr>
          <w:b/>
          <w:bCs/>
          <w:color w:val="000000"/>
        </w:rPr>
        <w:t>Lay Vie Sentok¹, Yan Wisnu Prajoko², Suhartono³, Riwanto⁴, Didik Styo Heriyanto⁵</w:t>
      </w:r>
    </w:p>
    <w:p w14:paraId="71F6742C" w14:textId="77777777" w:rsidR="006B4AAD" w:rsidRPr="006B4AAD" w:rsidRDefault="006B4AAD" w:rsidP="006B4AAD">
      <w:pPr>
        <w:spacing w:before="100" w:beforeAutospacing="1" w:after="100" w:afterAutospacing="1" w:line="360" w:lineRule="auto"/>
        <w:rPr>
          <w:color w:val="000000"/>
        </w:rPr>
      </w:pPr>
      <w:r w:rsidRPr="006B4AAD">
        <w:rPr>
          <w:color w:val="000000"/>
        </w:rPr>
        <w:t>¹ Program Studi Pendidikan Dokter Subspesialis Bedah, Fakultas Kedokteran, Universitas Diponegoro; RSUP Dr. Kariadi, Semarang, Indonesia</w:t>
      </w:r>
      <w:r w:rsidRPr="006B4AAD">
        <w:rPr>
          <w:color w:val="000000"/>
        </w:rPr>
        <w:br/>
        <w:t>² Divisi Bedah Onkologi, Tumor dan Bedah Kepala Leher, Fakultas Kedokteran, Universitas Diponegoro, Semarang, Indonesia; Divisi Bedah Onkologi, RSUP Dr. Kariadi, Semarang, Indonesia</w:t>
      </w:r>
      <w:r w:rsidRPr="006B4AAD">
        <w:rPr>
          <w:color w:val="000000"/>
        </w:rPr>
        <w:br/>
        <w:t>³ Departemen Kesehatan Lingkungan, Fakultas Kesehatan Masyarakat, Universitas Diponegoro, Semarang, Indonesia</w:t>
      </w:r>
      <w:r w:rsidRPr="006B4AAD">
        <w:rPr>
          <w:color w:val="000000"/>
        </w:rPr>
        <w:br/>
        <w:t>⁴ Divisi Bedah Digestif, Fakultas Kedokteran, Universitas Diponegoro, Semarang, Indonesia; Divisi Bedah Digestif, RSUP Dr. Kariadi, Semarang, Indonesia</w:t>
      </w:r>
      <w:r w:rsidRPr="006B4AAD">
        <w:rPr>
          <w:color w:val="000000"/>
        </w:rPr>
        <w:br/>
        <w:t>⁵ Departemen Patologi Anatomi, Fakultas Kedokteran, Kesehatan Masyarakat, dan Keperawatan, Universitas Gadjah Mada / RSUP Dr. Sardjito, Yogyakarta, Indonesia</w:t>
      </w:r>
    </w:p>
    <w:p w14:paraId="16D3B333" w14:textId="77777777" w:rsidR="006B4AAD" w:rsidRPr="006B4AAD" w:rsidRDefault="006B4AAD" w:rsidP="006B4AAD">
      <w:pPr>
        <w:spacing w:before="100" w:beforeAutospacing="1" w:after="100" w:afterAutospacing="1" w:line="360" w:lineRule="auto"/>
        <w:outlineLvl w:val="1"/>
        <w:rPr>
          <w:b/>
          <w:bCs/>
          <w:color w:val="000000"/>
        </w:rPr>
      </w:pPr>
      <w:r w:rsidRPr="006B4AAD">
        <w:rPr>
          <w:b/>
          <w:bCs/>
          <w:color w:val="000000"/>
        </w:rPr>
        <w:t>ABSTRAK</w:t>
      </w:r>
    </w:p>
    <w:p w14:paraId="528E5EB4" w14:textId="77777777" w:rsidR="006B4AAD" w:rsidRPr="006B4AAD" w:rsidRDefault="006B4AAD" w:rsidP="006B4AAD">
      <w:pPr>
        <w:spacing w:before="100" w:beforeAutospacing="1" w:after="100" w:afterAutospacing="1" w:line="360" w:lineRule="auto"/>
        <w:jc w:val="both"/>
        <w:rPr>
          <w:color w:val="000000"/>
        </w:rPr>
      </w:pPr>
      <w:r w:rsidRPr="006B4AAD">
        <w:rPr>
          <w:b/>
          <w:bCs/>
          <w:color w:val="000000"/>
        </w:rPr>
        <w:t>Latar Belakang:</w:t>
      </w:r>
      <w:r w:rsidRPr="006B4AAD">
        <w:rPr>
          <w:color w:val="000000"/>
        </w:rPr>
        <w:t> Kanker payudara subtipe luminal menunjukkan heterogenitas prognosis yang belum dapat dijelaskan secara memadai oleh faktor klinikopatologis konvensional. Biomarker molekuler seperti </w:t>
      </w:r>
      <w:r w:rsidRPr="006B4AAD">
        <w:rPr>
          <w:i/>
          <w:iCs/>
          <w:color w:val="000000"/>
        </w:rPr>
        <w:t>Sex Determining Region Y-Box 2 (SOX2)</w:t>
      </w:r>
      <w:r w:rsidRPr="006B4AAD">
        <w:rPr>
          <w:color w:val="000000"/>
        </w:rPr>
        <w:t> dan </w:t>
      </w:r>
      <w:r w:rsidRPr="006B4AAD">
        <w:rPr>
          <w:i/>
          <w:iCs/>
          <w:color w:val="000000"/>
        </w:rPr>
        <w:t>microRNA-21 (miR-21)</w:t>
      </w:r>
      <w:r w:rsidRPr="006B4AAD">
        <w:rPr>
          <w:color w:val="000000"/>
        </w:rPr>
        <w:t> berperan dalam progresi tumor dan berpotensi menjadi prediktor luaran klinis.</w:t>
      </w:r>
    </w:p>
    <w:p w14:paraId="3AD3FB8E" w14:textId="77777777" w:rsidR="006B4AAD" w:rsidRPr="006B4AAD" w:rsidRDefault="006B4AAD" w:rsidP="006B4AAD">
      <w:pPr>
        <w:spacing w:before="100" w:beforeAutospacing="1" w:after="100" w:afterAutospacing="1" w:line="360" w:lineRule="auto"/>
        <w:jc w:val="both"/>
        <w:rPr>
          <w:color w:val="000000"/>
        </w:rPr>
      </w:pPr>
      <w:r w:rsidRPr="006B4AAD">
        <w:rPr>
          <w:b/>
          <w:bCs/>
          <w:color w:val="000000"/>
        </w:rPr>
        <w:t>Tujuan:</w:t>
      </w:r>
      <w:r w:rsidRPr="006B4AAD">
        <w:rPr>
          <w:color w:val="000000"/>
        </w:rPr>
        <w:t xml:space="preserve"> Penelitian ini bertujuan untuk menganalisis hubungan antara ekspresi </w:t>
      </w:r>
      <w:r w:rsidRPr="006B4AAD">
        <w:rPr>
          <w:i/>
          <w:iCs/>
          <w:color w:val="000000"/>
        </w:rPr>
        <w:t>mRNA SOX2</w:t>
      </w:r>
      <w:r w:rsidRPr="006B4AAD">
        <w:rPr>
          <w:color w:val="000000"/>
        </w:rPr>
        <w:t xml:space="preserve"> dan </w:t>
      </w:r>
      <w:r w:rsidRPr="006B4AAD">
        <w:rPr>
          <w:i/>
          <w:iCs/>
          <w:color w:val="000000"/>
        </w:rPr>
        <w:t>miR-21</w:t>
      </w:r>
      <w:r w:rsidRPr="006B4AAD">
        <w:rPr>
          <w:color w:val="000000"/>
        </w:rPr>
        <w:t xml:space="preserve"> dengan kejadian kekambuhan, </w:t>
      </w:r>
      <w:r w:rsidRPr="006B4AAD">
        <w:rPr>
          <w:i/>
          <w:iCs/>
          <w:color w:val="000000"/>
        </w:rPr>
        <w:t>disease-free survival</w:t>
      </w:r>
      <w:r w:rsidRPr="006B4AAD">
        <w:rPr>
          <w:color w:val="000000"/>
        </w:rPr>
        <w:t> (DFS), dan </w:t>
      </w:r>
      <w:r w:rsidRPr="006B4AAD">
        <w:rPr>
          <w:i/>
          <w:iCs/>
          <w:color w:val="000000"/>
        </w:rPr>
        <w:t>overall survival</w:t>
      </w:r>
      <w:r w:rsidRPr="006B4AAD">
        <w:rPr>
          <w:color w:val="000000"/>
        </w:rPr>
        <w:t> (OS) pada pasien kanker payudara subtipe luminal.</w:t>
      </w:r>
    </w:p>
    <w:p w14:paraId="71663A18" w14:textId="77777777" w:rsidR="006B4AAD" w:rsidRPr="006B4AAD" w:rsidRDefault="006B4AAD" w:rsidP="006B4AAD">
      <w:pPr>
        <w:spacing w:before="100" w:beforeAutospacing="1" w:after="100" w:afterAutospacing="1" w:line="360" w:lineRule="auto"/>
        <w:jc w:val="both"/>
        <w:rPr>
          <w:color w:val="000000"/>
        </w:rPr>
      </w:pPr>
      <w:r w:rsidRPr="006B4AAD">
        <w:rPr>
          <w:b/>
          <w:bCs/>
          <w:color w:val="000000"/>
        </w:rPr>
        <w:t>Metode:</w:t>
      </w:r>
      <w:r w:rsidRPr="006B4AAD">
        <w:rPr>
          <w:color w:val="000000"/>
        </w:rPr>
        <w:t xml:space="preserve"> Penelitian kohort retrospektif ini melibatkan 244 pasien kanker payudara subtipe luminal yang menjalani operasi definitif di RSUP Dr. Kariadi dan Rumah Sakit Ken Saras pada tahun 2019–2024. Ekspresi </w:t>
      </w:r>
      <w:r w:rsidRPr="006B4AAD">
        <w:rPr>
          <w:i/>
          <w:iCs/>
          <w:color w:val="000000"/>
        </w:rPr>
        <w:t>mRNA SOX2</w:t>
      </w:r>
      <w:r w:rsidRPr="006B4AAD">
        <w:rPr>
          <w:color w:val="000000"/>
        </w:rPr>
        <w:t xml:space="preserve"> dan </w:t>
      </w:r>
      <w:r w:rsidRPr="006B4AAD">
        <w:rPr>
          <w:i/>
          <w:iCs/>
          <w:color w:val="000000"/>
        </w:rPr>
        <w:t>miR-21</w:t>
      </w:r>
      <w:r w:rsidRPr="006B4AAD">
        <w:rPr>
          <w:color w:val="000000"/>
        </w:rPr>
        <w:t xml:space="preserve"> diukur dari jaringan </w:t>
      </w:r>
      <w:r w:rsidRPr="006B4AAD">
        <w:rPr>
          <w:i/>
          <w:iCs/>
          <w:color w:val="000000"/>
        </w:rPr>
        <w:t>formalin-fixed paraffin-embedded</w:t>
      </w:r>
      <w:r w:rsidRPr="006B4AAD">
        <w:rPr>
          <w:color w:val="000000"/>
        </w:rPr>
        <w:t> (FFPE) menggunakan </w:t>
      </w:r>
      <w:r w:rsidRPr="006B4AAD">
        <w:rPr>
          <w:i/>
          <w:iCs/>
          <w:color w:val="000000"/>
        </w:rPr>
        <w:t>real-time quantitative polymerase chain reaction</w:t>
      </w:r>
      <w:r w:rsidRPr="006B4AAD">
        <w:rPr>
          <w:color w:val="000000"/>
        </w:rPr>
        <w:t xml:space="preserve"> (RT-qPCR). </w:t>
      </w:r>
      <w:r w:rsidRPr="006B4AAD">
        <w:rPr>
          <w:color w:val="000000"/>
        </w:rPr>
        <w:lastRenderedPageBreak/>
        <w:t>Analisis statistik dilakukan menggunakan uji Mann–Whitney, Chi-square, serta analisis Kaplan–Meier dengan uji log-rank, disertai model regresi Cox univariat dan multivariat. Nilai kemaknaan statistik ditetapkan pada </w:t>
      </w:r>
      <w:r w:rsidRPr="006B4AAD">
        <w:rPr>
          <w:i/>
          <w:iCs/>
          <w:color w:val="000000"/>
        </w:rPr>
        <w:t>p</w:t>
      </w:r>
      <w:r w:rsidRPr="006B4AAD">
        <w:rPr>
          <w:color w:val="000000"/>
        </w:rPr>
        <w:t> &lt; 0,05.</w:t>
      </w:r>
    </w:p>
    <w:p w14:paraId="79CF9DCE" w14:textId="4E0296BD" w:rsidR="006B4AAD" w:rsidRPr="006B4AAD" w:rsidRDefault="006B4AAD" w:rsidP="006B4AAD">
      <w:pPr>
        <w:spacing w:before="100" w:beforeAutospacing="1" w:after="100" w:afterAutospacing="1" w:line="360" w:lineRule="auto"/>
        <w:jc w:val="both"/>
        <w:rPr>
          <w:color w:val="000000"/>
        </w:rPr>
      </w:pPr>
      <w:r w:rsidRPr="006B4AAD">
        <w:rPr>
          <w:b/>
          <w:bCs/>
          <w:color w:val="000000"/>
        </w:rPr>
        <w:t>Hasil:</w:t>
      </w:r>
      <w:r w:rsidRPr="006B4AAD">
        <w:rPr>
          <w:color w:val="000000"/>
        </w:rPr>
        <w:t> Analisis biomarker sebagai variabel kontinu tidak menunjukkan hubungan yang bermakna dengan kejadian kekambuhan maupun kematian (seluruh </w:t>
      </w:r>
      <w:r w:rsidRPr="006B4AAD">
        <w:rPr>
          <w:i/>
          <w:iCs/>
          <w:color w:val="000000"/>
        </w:rPr>
        <w:t>p</w:t>
      </w:r>
      <w:r w:rsidRPr="006B4AAD">
        <w:rPr>
          <w:color w:val="000000"/>
        </w:rPr>
        <w:t xml:space="preserve"> &gt; 0,05). Namun, analisis Kaplan–Meier berdasarkan distribusi kuintil menunjukkan perbedaan bermakna pada OS berdasarkan ekspresi </w:t>
      </w:r>
      <w:r w:rsidRPr="006B4AAD">
        <w:rPr>
          <w:i/>
          <w:iCs/>
          <w:color w:val="000000"/>
        </w:rPr>
        <w:t xml:space="preserve">mRNA </w:t>
      </w:r>
      <w:r w:rsidRPr="006B4AAD">
        <w:rPr>
          <w:i/>
          <w:iCs/>
          <w:color w:val="000000"/>
        </w:rPr>
        <w:t>SOX2</w:t>
      </w:r>
      <w:r w:rsidRPr="006B4AAD">
        <w:rPr>
          <w:color w:val="000000"/>
        </w:rPr>
        <w:t xml:space="preserve"> (</w:t>
      </w:r>
      <w:r w:rsidRPr="006B4AAD">
        <w:rPr>
          <w:i/>
          <w:iCs/>
          <w:color w:val="000000"/>
        </w:rPr>
        <w:t>p</w:t>
      </w:r>
      <w:r w:rsidRPr="006B4AAD">
        <w:rPr>
          <w:color w:val="000000"/>
        </w:rPr>
        <w:t xml:space="preserve"> = 0,011), dengan kuintil kedua (Q2: 13,930–17,148) menunjukkan prognosis terburuk. Analisis bivariat menunjukkan bahwa ekspresi </w:t>
      </w:r>
      <w:r w:rsidRPr="006B4AAD">
        <w:rPr>
          <w:i/>
          <w:iCs/>
          <w:color w:val="000000"/>
        </w:rPr>
        <w:t>mRNA SOX2</w:t>
      </w:r>
      <w:r w:rsidRPr="006B4AAD">
        <w:rPr>
          <w:color w:val="000000"/>
        </w:rPr>
        <w:t xml:space="preserve"> pada rentang Q2 berhubungan dengan peningkatan risiko kematian (OR 2,45; IK95% 1,28–4,71; </w:t>
      </w:r>
      <w:r w:rsidRPr="006B4AAD">
        <w:rPr>
          <w:i/>
          <w:iCs/>
          <w:color w:val="000000"/>
        </w:rPr>
        <w:t>p</w:t>
      </w:r>
      <w:r w:rsidRPr="006B4AAD">
        <w:rPr>
          <w:color w:val="000000"/>
        </w:rPr>
        <w:t xml:space="preserve"> = 0,006). Ekspresi </w:t>
      </w:r>
      <w:r w:rsidRPr="006B4AAD">
        <w:rPr>
          <w:i/>
          <w:iCs/>
          <w:color w:val="000000"/>
        </w:rPr>
        <w:t>miR-21</w:t>
      </w:r>
      <w:r w:rsidRPr="006B4AAD">
        <w:rPr>
          <w:color w:val="000000"/>
        </w:rPr>
        <w:t xml:space="preserve"> yang rendah (≤2,297) berhubungan dengan peningkatan risiko kekambuhan (OR 1,70; IK95% 1,01–2,84; </w:t>
      </w:r>
      <w:r w:rsidRPr="006B4AAD">
        <w:rPr>
          <w:i/>
          <w:iCs/>
          <w:color w:val="000000"/>
        </w:rPr>
        <w:t>p</w:t>
      </w:r>
      <w:r w:rsidRPr="006B4AAD">
        <w:rPr>
          <w:color w:val="000000"/>
        </w:rPr>
        <w:t> = 0,044) serta DFS yang secara bermakna lebih pendek dibandingkan kelompok dengan ekspresi lebih tinggi (29,70 vs. 62,35 bulan; </w:t>
      </w:r>
      <w:r w:rsidRPr="006B4AAD">
        <w:rPr>
          <w:i/>
          <w:iCs/>
          <w:color w:val="000000"/>
        </w:rPr>
        <w:t>p</w:t>
      </w:r>
      <w:r w:rsidRPr="006B4AAD">
        <w:rPr>
          <w:color w:val="000000"/>
        </w:rPr>
        <w:t xml:space="preserve"> = 0,036). Analisis regresi Cox multivariat mengonfirmasi bahwa ekspresi </w:t>
      </w:r>
      <w:r w:rsidRPr="006B4AAD">
        <w:rPr>
          <w:i/>
          <w:iCs/>
          <w:color w:val="000000"/>
        </w:rPr>
        <w:t>mRNA SOX2</w:t>
      </w:r>
      <w:r w:rsidRPr="006B4AAD">
        <w:rPr>
          <w:color w:val="000000"/>
        </w:rPr>
        <w:t xml:space="preserve"> pada Q2 merupakan faktor prognostik independen terhadap OS (HR 2,81; IK95% 1,60–4,93; </w:t>
      </w:r>
      <w:r w:rsidRPr="006B4AAD">
        <w:rPr>
          <w:i/>
          <w:iCs/>
          <w:color w:val="000000"/>
        </w:rPr>
        <w:t>p</w:t>
      </w:r>
      <w:r w:rsidRPr="006B4AAD">
        <w:rPr>
          <w:color w:val="000000"/>
        </w:rPr>
        <w:t xml:space="preserve"> &lt; 0,001), sedangkan </w:t>
      </w:r>
      <w:r w:rsidRPr="006B4AAD">
        <w:rPr>
          <w:i/>
          <w:iCs/>
          <w:color w:val="000000"/>
        </w:rPr>
        <w:t>miR-21</w:t>
      </w:r>
      <w:r w:rsidRPr="006B4AAD">
        <w:rPr>
          <w:color w:val="000000"/>
        </w:rPr>
        <w:t xml:space="preserve"> tidak merupakan prediktor independen terhadap DFS setelah dilakukan penyesuaian terhadap variabel klinikopatologis.</w:t>
      </w:r>
    </w:p>
    <w:p w14:paraId="2CE5E80A" w14:textId="2BA17CCC" w:rsidR="006B4AAD" w:rsidRPr="006B4AAD" w:rsidRDefault="006B4AAD" w:rsidP="006B4AAD">
      <w:pPr>
        <w:spacing w:before="100" w:beforeAutospacing="1" w:after="100" w:afterAutospacing="1" w:line="360" w:lineRule="auto"/>
        <w:jc w:val="both"/>
        <w:rPr>
          <w:color w:val="000000"/>
        </w:rPr>
      </w:pPr>
      <w:r w:rsidRPr="006B4AAD">
        <w:rPr>
          <w:b/>
          <w:bCs/>
          <w:color w:val="000000"/>
        </w:rPr>
        <w:t>Kesimpulan:</w:t>
      </w:r>
      <w:r w:rsidRPr="006B4AAD">
        <w:rPr>
          <w:color w:val="000000"/>
        </w:rPr>
        <w:t xml:space="preserve"> Ekspresi </w:t>
      </w:r>
      <w:r w:rsidRPr="006B4AAD">
        <w:rPr>
          <w:i/>
          <w:iCs/>
          <w:color w:val="000000"/>
        </w:rPr>
        <w:t>mRNA SOX2</w:t>
      </w:r>
      <w:r w:rsidRPr="006B4AAD">
        <w:rPr>
          <w:color w:val="000000"/>
        </w:rPr>
        <w:t xml:space="preserve"> pada kuintil kedua merupakan faktor prognostik independen yang berhubungan dengan penurunan </w:t>
      </w:r>
      <w:r w:rsidRPr="006B4AAD">
        <w:rPr>
          <w:i/>
          <w:iCs/>
          <w:color w:val="000000"/>
        </w:rPr>
        <w:t>overall survival</w:t>
      </w:r>
      <w:r w:rsidRPr="006B4AAD">
        <w:rPr>
          <w:color w:val="000000"/>
        </w:rPr>
        <w:t xml:space="preserve"> pada pasien kanker payudara subtipe luminal. Meskipun ekspresi </w:t>
      </w:r>
      <w:r w:rsidRPr="006B4AAD">
        <w:rPr>
          <w:i/>
          <w:iCs/>
          <w:color w:val="000000"/>
        </w:rPr>
        <w:t>miR-21</w:t>
      </w:r>
      <w:r w:rsidRPr="006B4AAD">
        <w:rPr>
          <w:color w:val="000000"/>
        </w:rPr>
        <w:t xml:space="preserve"> yang rendah berkaitan dengan peningkatan risiko kekambuhan dan pemendekan </w:t>
      </w:r>
      <w:r w:rsidRPr="006B4AAD">
        <w:rPr>
          <w:i/>
          <w:iCs/>
          <w:color w:val="000000"/>
        </w:rPr>
        <w:t>disease-free survival</w:t>
      </w:r>
      <w:r w:rsidRPr="006B4AAD">
        <w:rPr>
          <w:color w:val="000000"/>
        </w:rPr>
        <w:t>, biomarker ini tidak terbukti sebagai prediktor independen setelah dilakukan penyesuaian terhadap faktor perancu.</w:t>
      </w:r>
    </w:p>
    <w:p w14:paraId="0B039962" w14:textId="69DC1AB3" w:rsidR="006B4AAD" w:rsidRPr="006B4AAD" w:rsidRDefault="006B4AAD" w:rsidP="006B4AAD">
      <w:pPr>
        <w:spacing w:before="100" w:beforeAutospacing="1" w:after="100" w:afterAutospacing="1" w:line="360" w:lineRule="auto"/>
        <w:jc w:val="both"/>
        <w:rPr>
          <w:color w:val="000000"/>
        </w:rPr>
      </w:pPr>
      <w:r w:rsidRPr="006B4AAD">
        <w:rPr>
          <w:b/>
          <w:bCs/>
          <w:color w:val="000000"/>
        </w:rPr>
        <w:t>Kata kunci:</w:t>
      </w:r>
      <w:r w:rsidRPr="006B4AAD">
        <w:rPr>
          <w:color w:val="000000"/>
        </w:rPr>
        <w:t xml:space="preserve"> kanker payudara, subtipe luminal, </w:t>
      </w:r>
      <w:r w:rsidRPr="006B4AAD">
        <w:rPr>
          <w:i/>
          <w:iCs/>
          <w:color w:val="000000"/>
        </w:rPr>
        <w:t>mRNA SOX2</w:t>
      </w:r>
      <w:r w:rsidRPr="006B4AAD">
        <w:rPr>
          <w:color w:val="000000"/>
        </w:rPr>
        <w:t xml:space="preserve">, </w:t>
      </w:r>
      <w:r w:rsidRPr="006B4AAD">
        <w:rPr>
          <w:i/>
          <w:iCs/>
          <w:color w:val="000000"/>
        </w:rPr>
        <w:t>miR-21</w:t>
      </w:r>
      <w:r w:rsidRPr="006B4AAD">
        <w:rPr>
          <w:color w:val="000000"/>
        </w:rPr>
        <w:t>, </w:t>
      </w:r>
      <w:r w:rsidRPr="006B4AAD">
        <w:rPr>
          <w:i/>
          <w:iCs/>
          <w:color w:val="000000"/>
        </w:rPr>
        <w:t>disease-free survival</w:t>
      </w:r>
      <w:r w:rsidRPr="006B4AAD">
        <w:rPr>
          <w:color w:val="000000"/>
        </w:rPr>
        <w:t>, </w:t>
      </w:r>
      <w:r w:rsidRPr="006B4AAD">
        <w:rPr>
          <w:i/>
          <w:iCs/>
          <w:color w:val="000000"/>
        </w:rPr>
        <w:t>overall survival</w:t>
      </w:r>
      <w:r w:rsidRPr="006B4AAD">
        <w:rPr>
          <w:color w:val="000000"/>
        </w:rPr>
        <w:t>.</w:t>
      </w:r>
    </w:p>
    <w:p w14:paraId="73E0BA07" w14:textId="77777777" w:rsidR="00CB3848" w:rsidRPr="006B4AAD" w:rsidRDefault="00CB3848" w:rsidP="006B4AAD">
      <w:pPr>
        <w:spacing w:line="360" w:lineRule="auto"/>
        <w:jc w:val="both"/>
      </w:pPr>
    </w:p>
    <w:sectPr w:rsidR="00CB3848" w:rsidRPr="006B4A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59A0445"/>
    <w:multiLevelType w:val="multilevel"/>
    <w:tmpl w:val="916695A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F16791B"/>
    <w:multiLevelType w:val="hybridMultilevel"/>
    <w:tmpl w:val="BAB2C570"/>
    <w:lvl w:ilvl="0" w:tplc="A04AA9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B5FC2"/>
    <w:multiLevelType w:val="multilevel"/>
    <w:tmpl w:val="A74A5376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8F63DC0"/>
    <w:multiLevelType w:val="hybridMultilevel"/>
    <w:tmpl w:val="842C2E7E"/>
    <w:lvl w:ilvl="0" w:tplc="310AB244">
      <w:start w:val="1"/>
      <w:numFmt w:val="decimal"/>
      <w:lvlText w:val="%1."/>
      <w:lvlJc w:val="left"/>
      <w:pPr>
        <w:ind w:left="1494" w:hanging="64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AB21669"/>
    <w:multiLevelType w:val="multilevel"/>
    <w:tmpl w:val="B980063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Times New Roman" w:hAnsi="Times New Roman" w:hint="default"/>
        <w:b/>
        <w:i w:val="0"/>
        <w:color w:val="FFFFFF" w:themeColor="background1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B477539"/>
    <w:multiLevelType w:val="hybridMultilevel"/>
    <w:tmpl w:val="4644365E"/>
    <w:lvl w:ilvl="0" w:tplc="492EF38C">
      <w:start w:val="1"/>
      <w:numFmt w:val="decimal"/>
      <w:pStyle w:val="TableParagraph"/>
      <w:lvlText w:val="%1."/>
      <w:lvlJc w:val="left"/>
      <w:pPr>
        <w:ind w:left="851" w:hanging="681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5B308E"/>
    <w:multiLevelType w:val="multilevel"/>
    <w:tmpl w:val="C6BC8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B792EFD"/>
    <w:multiLevelType w:val="multilevel"/>
    <w:tmpl w:val="D6109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2460464">
    <w:abstractNumId w:val="0"/>
  </w:num>
  <w:num w:numId="2" w16cid:durableId="1220091177">
    <w:abstractNumId w:val="7"/>
  </w:num>
  <w:num w:numId="3" w16cid:durableId="185945285">
    <w:abstractNumId w:val="4"/>
  </w:num>
  <w:num w:numId="4" w16cid:durableId="193886261">
    <w:abstractNumId w:val="4"/>
  </w:num>
  <w:num w:numId="5" w16cid:durableId="4597653">
    <w:abstractNumId w:val="6"/>
  </w:num>
  <w:num w:numId="6" w16cid:durableId="1710497216">
    <w:abstractNumId w:val="1"/>
  </w:num>
  <w:num w:numId="7" w16cid:durableId="2112553892">
    <w:abstractNumId w:val="3"/>
  </w:num>
  <w:num w:numId="8" w16cid:durableId="194774064">
    <w:abstractNumId w:val="5"/>
  </w:num>
  <w:num w:numId="9" w16cid:durableId="330255511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AD"/>
    <w:rsid w:val="00053D11"/>
    <w:rsid w:val="00082C3F"/>
    <w:rsid w:val="000C21E3"/>
    <w:rsid w:val="000E0559"/>
    <w:rsid w:val="000E3CBA"/>
    <w:rsid w:val="001066F0"/>
    <w:rsid w:val="00165D4D"/>
    <w:rsid w:val="001A6AB1"/>
    <w:rsid w:val="001B558A"/>
    <w:rsid w:val="002722AD"/>
    <w:rsid w:val="00291066"/>
    <w:rsid w:val="002F6040"/>
    <w:rsid w:val="003050C1"/>
    <w:rsid w:val="00335D5C"/>
    <w:rsid w:val="00391DD3"/>
    <w:rsid w:val="003D7345"/>
    <w:rsid w:val="003F6F2B"/>
    <w:rsid w:val="00423DE5"/>
    <w:rsid w:val="00481F56"/>
    <w:rsid w:val="004B67E1"/>
    <w:rsid w:val="004E5450"/>
    <w:rsid w:val="00540FE1"/>
    <w:rsid w:val="005A5488"/>
    <w:rsid w:val="0069164B"/>
    <w:rsid w:val="006B4AAD"/>
    <w:rsid w:val="007536AD"/>
    <w:rsid w:val="00762076"/>
    <w:rsid w:val="00817AF2"/>
    <w:rsid w:val="00827E70"/>
    <w:rsid w:val="0083224E"/>
    <w:rsid w:val="008336D6"/>
    <w:rsid w:val="00853746"/>
    <w:rsid w:val="0088110A"/>
    <w:rsid w:val="009150D3"/>
    <w:rsid w:val="009A168F"/>
    <w:rsid w:val="009E285F"/>
    <w:rsid w:val="00A24138"/>
    <w:rsid w:val="00AD75AA"/>
    <w:rsid w:val="00BE6660"/>
    <w:rsid w:val="00C43E0B"/>
    <w:rsid w:val="00C62ACB"/>
    <w:rsid w:val="00CA12EA"/>
    <w:rsid w:val="00CB11E4"/>
    <w:rsid w:val="00CB3848"/>
    <w:rsid w:val="00D51668"/>
    <w:rsid w:val="00E32D24"/>
    <w:rsid w:val="00EB03EE"/>
    <w:rsid w:val="00F17B73"/>
    <w:rsid w:val="00FB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D07C"/>
  <w15:chartTrackingRefBased/>
  <w15:docId w15:val="{9D4B931E-6E1C-2F41-BF6B-CE2DDAC8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aption"/>
    <w:qFormat/>
    <w:rsid w:val="00E32D24"/>
    <w:pPr>
      <w:spacing w:before="240" w:after="240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E285F"/>
    <w:pPr>
      <w:numPr>
        <w:numId w:val="4"/>
      </w:numPr>
      <w:spacing w:line="360" w:lineRule="auto"/>
      <w:jc w:val="center"/>
      <w:outlineLvl w:val="0"/>
    </w:pPr>
    <w:rPr>
      <w:rFonts w:asciiTheme="minorHAnsi" w:hAnsiTheme="minorHAnsi" w:cstheme="minorBidi"/>
      <w:color w:val="000000"/>
      <w:kern w:val="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AA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AA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9E285F"/>
    <w:pPr>
      <w:keepNext/>
      <w:keepLines/>
      <w:numPr>
        <w:ilvl w:val="4"/>
        <w:numId w:val="5"/>
      </w:numPr>
      <w:spacing w:before="40" w:after="0" w:line="360" w:lineRule="auto"/>
      <w:ind w:left="1008" w:hanging="1008"/>
      <w:jc w:val="both"/>
      <w:outlineLvl w:val="4"/>
    </w:pPr>
    <w:rPr>
      <w:rFonts w:asciiTheme="minorHAnsi" w:eastAsiaTheme="majorEastAsia" w:hAnsiTheme="minorHAnsi" w:cstheme="minorBidi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AA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AA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AAD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AAD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aliases w:val="Gambar"/>
    <w:basedOn w:val="Normal"/>
    <w:next w:val="Normal"/>
    <w:autoRedefine/>
    <w:uiPriority w:val="99"/>
    <w:semiHidden/>
    <w:unhideWhenUsed/>
    <w:qFormat/>
    <w:rsid w:val="005A5488"/>
    <w:pPr>
      <w:spacing w:after="0" w:line="360" w:lineRule="auto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0C21E3"/>
    <w:rPr>
      <w:rFonts w:eastAsia="Times New Roman"/>
      <w:color w:val="000000"/>
    </w:rPr>
  </w:style>
  <w:style w:type="paragraph" w:customStyle="1" w:styleId="Style1">
    <w:name w:val="Style1"/>
    <w:basedOn w:val="Caption"/>
    <w:next w:val="Normal"/>
    <w:autoRedefine/>
    <w:qFormat/>
    <w:rsid w:val="00540FE1"/>
    <w:pPr>
      <w:spacing w:after="440"/>
    </w:pPr>
    <w:rPr>
      <w:i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853746"/>
    <w:pPr>
      <w:adjustRightInd w:val="0"/>
      <w:snapToGrid w:val="0"/>
      <w:spacing w:before="0" w:after="0"/>
    </w:pPr>
    <w:rPr>
      <w:iCs/>
      <w:szCs w:val="18"/>
    </w:rPr>
  </w:style>
  <w:style w:type="paragraph" w:customStyle="1" w:styleId="Style2">
    <w:name w:val="Style2"/>
    <w:basedOn w:val="Caption"/>
    <w:autoRedefine/>
    <w:qFormat/>
    <w:rsid w:val="004B67E1"/>
    <w:pPr>
      <w:spacing w:after="440"/>
    </w:pPr>
    <w:rPr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9E285F"/>
    <w:rPr>
      <w:rFonts w:eastAsiaTheme="majorEastAsia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F6F2B"/>
    <w:pPr>
      <w:spacing w:after="40" w:line="360" w:lineRule="auto"/>
      <w:contextualSpacing/>
      <w:jc w:val="center"/>
    </w:pPr>
    <w:rPr>
      <w:rFonts w:asciiTheme="minorHAnsi" w:eastAsiaTheme="majorEastAsia" w:hAnsiTheme="minorHAnsi" w:cs="Times New Roman (Headings CS)"/>
      <w:b/>
      <w:caps/>
      <w:kern w:val="28"/>
      <w:szCs w:val="52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6F2B"/>
    <w:rPr>
      <w:rFonts w:eastAsiaTheme="majorEastAsia" w:cs="Times New Roman (Headings CS)"/>
      <w:b/>
      <w:caps/>
      <w:kern w:val="28"/>
      <w:szCs w:val="52"/>
      <w:lang w:val="en-US"/>
    </w:rPr>
  </w:style>
  <w:style w:type="paragraph" w:styleId="BodyText">
    <w:name w:val="Body Text"/>
    <w:basedOn w:val="Normal"/>
    <w:link w:val="BodyTextChar"/>
    <w:autoRedefine/>
    <w:uiPriority w:val="1"/>
    <w:qFormat/>
    <w:rsid w:val="001B558A"/>
    <w:pPr>
      <w:adjustRightInd w:val="0"/>
      <w:snapToGrid w:val="0"/>
      <w:spacing w:before="100" w:beforeAutospacing="1" w:after="100" w:afterAutospacing="1" w:line="360" w:lineRule="auto"/>
      <w:ind w:firstLine="709"/>
      <w:jc w:val="both"/>
    </w:pPr>
    <w:rPr>
      <w:rFonts w:asciiTheme="minorHAnsi" w:eastAsia="Cambria" w:hAnsiTheme="minorHAnsi" w:cstheme="minorBidi"/>
      <w:color w:val="000000"/>
      <w:kern w:val="2"/>
      <w:szCs w:val="27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1B558A"/>
    <w:rPr>
      <w:rFonts w:eastAsia="Cambria"/>
      <w:color w:val="000000"/>
      <w:szCs w:val="27"/>
      <w:lang w:val="en-US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853746"/>
    <w:pPr>
      <w:numPr>
        <w:numId w:val="9"/>
      </w:numPr>
      <w:adjustRightInd w:val="0"/>
      <w:snapToGrid w:val="0"/>
      <w:spacing w:before="0" w:after="0" w:line="360" w:lineRule="auto"/>
      <w:ind w:left="1494" w:hanging="643"/>
      <w:jc w:val="both"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853746"/>
  </w:style>
  <w:style w:type="paragraph" w:customStyle="1" w:styleId="TableParagraph">
    <w:name w:val="Table Paragraph"/>
    <w:basedOn w:val="Normal"/>
    <w:autoRedefine/>
    <w:uiPriority w:val="1"/>
    <w:qFormat/>
    <w:rsid w:val="00853746"/>
    <w:pPr>
      <w:widowControl w:val="0"/>
      <w:numPr>
        <w:numId w:val="8"/>
      </w:numPr>
      <w:autoSpaceDE w:val="0"/>
      <w:autoSpaceDN w:val="0"/>
      <w:adjustRightInd w:val="0"/>
      <w:snapToGrid w:val="0"/>
      <w:spacing w:before="0" w:after="0"/>
    </w:pPr>
    <w:rPr>
      <w:sz w:val="22"/>
      <w:szCs w:val="22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6B4AA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AA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AAD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AAD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AAD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AAD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AAD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AA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AA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B4A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AAD"/>
    <w:rPr>
      <w:rFonts w:ascii="Times New Roman" w:hAnsi="Times New Roman" w:cs="Times New Roman"/>
      <w:i/>
      <w:iCs/>
      <w:color w:val="404040" w:themeColor="text1" w:themeTint="BF"/>
      <w:kern w:val="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6B4A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AAD"/>
    <w:rPr>
      <w:rFonts w:ascii="Times New Roman" w:hAnsi="Times New Roman" w:cs="Times New Roman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B4AA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4AA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B4AAD"/>
  </w:style>
  <w:style w:type="character" w:styleId="Strong">
    <w:name w:val="Strong"/>
    <w:basedOn w:val="DefaultParagraphFont"/>
    <w:uiPriority w:val="22"/>
    <w:qFormat/>
    <w:rsid w:val="006B4AAD"/>
    <w:rPr>
      <w:b/>
      <w:bCs/>
    </w:rPr>
  </w:style>
  <w:style w:type="character" w:styleId="Emphasis">
    <w:name w:val="Emphasis"/>
    <w:basedOn w:val="DefaultParagraphFont"/>
    <w:uiPriority w:val="20"/>
    <w:qFormat/>
    <w:rsid w:val="006B4A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 VIE SENTOK</dc:creator>
  <cp:keywords/>
  <dc:description/>
  <cp:lastModifiedBy>LAY VIE SENTOK</cp:lastModifiedBy>
  <cp:revision>1</cp:revision>
  <dcterms:created xsi:type="dcterms:W3CDTF">2026-06-26T06:13:00Z</dcterms:created>
  <dcterms:modified xsi:type="dcterms:W3CDTF">2026-06-26T06:18:00Z</dcterms:modified>
</cp:coreProperties>
</file>