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4F92" w:rsidRDefault="00774F92" w:rsidP="00774F92">
      <w:pPr>
        <w:pStyle w:val="Heading1"/>
        <w:spacing w:before="79" w:line="360" w:lineRule="auto"/>
        <w:ind w:left="893" w:right="324" w:hanging="7"/>
        <w:jc w:val="center"/>
      </w:pPr>
      <w:r>
        <w:t>THE EFFECT OF</w:t>
      </w:r>
      <w:r>
        <w:rPr>
          <w:spacing w:val="-1"/>
        </w:rPr>
        <w:t xml:space="preserve"> </w:t>
      </w:r>
      <w:r>
        <w:t>GREEN MUSSEL</w:t>
      </w:r>
      <w:r>
        <w:rPr>
          <w:spacing w:val="-5"/>
        </w:rPr>
        <w:t xml:space="preserve"> </w:t>
      </w:r>
      <w:r>
        <w:t>SHELL</w:t>
      </w:r>
      <w:r>
        <w:rPr>
          <w:spacing w:val="-9"/>
        </w:rPr>
        <w:t xml:space="preserve"> </w:t>
      </w:r>
      <w:r>
        <w:t>HYDROXYAPATITE ON THE RADIOGRAPHIC</w:t>
      </w:r>
      <w:r>
        <w:rPr>
          <w:spacing w:val="-6"/>
        </w:rPr>
        <w:t xml:space="preserve"> </w:t>
      </w:r>
      <w:r>
        <w:t>UNION</w:t>
      </w:r>
      <w:r>
        <w:rPr>
          <w:spacing w:val="-6"/>
        </w:rPr>
        <w:t xml:space="preserve"> </w:t>
      </w:r>
      <w:r>
        <w:t>SCORE</w:t>
      </w:r>
      <w:r>
        <w:rPr>
          <w:spacing w:val="-5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TIBIAL</w:t>
      </w:r>
      <w:r>
        <w:rPr>
          <w:spacing w:val="-3"/>
        </w:rPr>
        <w:t xml:space="preserve"> </w:t>
      </w:r>
      <w:r>
        <w:t>(RUST)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RABBIT</w:t>
      </w:r>
      <w:r>
        <w:rPr>
          <w:spacing w:val="-8"/>
        </w:rPr>
        <w:t xml:space="preserve"> </w:t>
      </w:r>
      <w:r>
        <w:t>FEMUR</w:t>
      </w:r>
      <w:r>
        <w:rPr>
          <w:spacing w:val="-6"/>
        </w:rPr>
        <w:t xml:space="preserve"> </w:t>
      </w:r>
      <w:r>
        <w:t>DEFECT</w:t>
      </w:r>
    </w:p>
    <w:p w:rsidR="00774F92" w:rsidRDefault="00774F92" w:rsidP="00774F92">
      <w:pPr>
        <w:pStyle w:val="BodyText"/>
        <w:ind w:left="567"/>
        <w:jc w:val="center"/>
      </w:pPr>
      <w:proofErr w:type="spellStart"/>
      <w:r>
        <w:t>Rafika</w:t>
      </w:r>
      <w:proofErr w:type="spellEnd"/>
      <w:r>
        <w:rPr>
          <w:spacing w:val="-4"/>
        </w:rPr>
        <w:t xml:space="preserve"> </w:t>
      </w:r>
      <w:proofErr w:type="spellStart"/>
      <w:r>
        <w:t>Syah</w:t>
      </w:r>
      <w:proofErr w:type="spellEnd"/>
      <w:r>
        <w:rPr>
          <w:spacing w:val="-1"/>
        </w:rPr>
        <w:t xml:space="preserve"> </w:t>
      </w:r>
      <w:r>
        <w:t>Putra,</w:t>
      </w:r>
      <w:r>
        <w:rPr>
          <w:spacing w:val="-1"/>
        </w:rPr>
        <w:t xml:space="preserve"> </w:t>
      </w:r>
      <w:proofErr w:type="spellStart"/>
      <w:r>
        <w:t>Najatullah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Selamat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Budijitno</w:t>
      </w:r>
      <w:proofErr w:type="spellEnd"/>
    </w:p>
    <w:p w:rsidR="00774F92" w:rsidRDefault="00774F92" w:rsidP="00774F92">
      <w:pPr>
        <w:pStyle w:val="BodyText"/>
        <w:ind w:left="0"/>
      </w:pPr>
    </w:p>
    <w:p w:rsidR="00774F92" w:rsidRDefault="00774F92" w:rsidP="00774F92">
      <w:pPr>
        <w:pStyle w:val="BodyText"/>
        <w:ind w:left="0"/>
      </w:pPr>
    </w:p>
    <w:p w:rsidR="00774F92" w:rsidRDefault="00774F92" w:rsidP="00774F92">
      <w:pPr>
        <w:pStyle w:val="BodyText"/>
        <w:ind w:left="1630"/>
      </w:pPr>
      <w:r>
        <w:t>Department</w:t>
      </w:r>
      <w:r>
        <w:rPr>
          <w:spacing w:val="-8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Surgery,</w:t>
      </w:r>
      <w:r>
        <w:rPr>
          <w:spacing w:val="-6"/>
        </w:rPr>
        <w:t xml:space="preserve"> </w:t>
      </w:r>
      <w:r>
        <w:t>Universitas</w:t>
      </w:r>
      <w:r>
        <w:rPr>
          <w:spacing w:val="-6"/>
        </w:rPr>
        <w:t xml:space="preserve"> </w:t>
      </w:r>
      <w:proofErr w:type="spellStart"/>
      <w:r>
        <w:t>Diponegoro</w:t>
      </w:r>
      <w:proofErr w:type="spellEnd"/>
      <w:r>
        <w:t>,</w:t>
      </w:r>
      <w:r>
        <w:rPr>
          <w:spacing w:val="-6"/>
        </w:rPr>
        <w:t xml:space="preserve"> </w:t>
      </w:r>
      <w:r>
        <w:t>Semarang,</w:t>
      </w:r>
      <w:r>
        <w:rPr>
          <w:spacing w:val="-5"/>
        </w:rPr>
        <w:t xml:space="preserve"> </w:t>
      </w:r>
      <w:r>
        <w:rPr>
          <w:spacing w:val="-2"/>
        </w:rPr>
        <w:t>Indonesia</w:t>
      </w:r>
    </w:p>
    <w:p w:rsidR="00774F92" w:rsidRDefault="00774F92" w:rsidP="00774F92">
      <w:pPr>
        <w:pStyle w:val="BodyText"/>
        <w:ind w:left="0"/>
      </w:pPr>
    </w:p>
    <w:p w:rsidR="00774F92" w:rsidRDefault="00774F92" w:rsidP="00774F92">
      <w:pPr>
        <w:pStyle w:val="BodyText"/>
        <w:ind w:left="0"/>
      </w:pPr>
    </w:p>
    <w:p w:rsidR="00774F92" w:rsidRDefault="00774F92" w:rsidP="00774F92">
      <w:pPr>
        <w:pStyle w:val="Heading1"/>
      </w:pPr>
      <w:r>
        <w:rPr>
          <w:spacing w:val="-2"/>
        </w:rPr>
        <w:t>ABSTRACT</w:t>
      </w:r>
    </w:p>
    <w:p w:rsidR="00774F92" w:rsidRDefault="00774F92" w:rsidP="00774F92">
      <w:pPr>
        <w:pStyle w:val="BodyText"/>
        <w:spacing w:before="137"/>
        <w:ind w:right="164"/>
        <w:jc w:val="both"/>
      </w:pPr>
      <w:r>
        <w:rPr>
          <w:b/>
        </w:rPr>
        <w:t xml:space="preserve">Background: </w:t>
      </w:r>
      <w:r>
        <w:t xml:space="preserve">Bone grafts has become a standard practice in fracture management, utilizing osteogenic, </w:t>
      </w:r>
      <w:proofErr w:type="spellStart"/>
      <w:r>
        <w:t>osteoinductive</w:t>
      </w:r>
      <w:proofErr w:type="spellEnd"/>
      <w:r>
        <w:t xml:space="preserve">, and osteoconductive materials to enhance bone healing response. Bovine </w:t>
      </w:r>
      <w:proofErr w:type="spellStart"/>
      <w:r>
        <w:t>hydroxiapatite</w:t>
      </w:r>
      <w:proofErr w:type="spellEnd"/>
      <w:r>
        <w:t xml:space="preserve"> (HA) is relatively expensive for production, hence green mussel shell was seen as the alternative, offering a smaller molecular size that are inexpensive and abundant in Indonesia. This study aims to evaluate efficacy of green mussel shells HA on bone healing through radiologic examination.</w:t>
      </w:r>
    </w:p>
    <w:p w:rsidR="00774F92" w:rsidRDefault="00774F92" w:rsidP="00774F92">
      <w:pPr>
        <w:pStyle w:val="BodyText"/>
        <w:spacing w:before="1"/>
        <w:ind w:right="164"/>
        <w:jc w:val="both"/>
      </w:pPr>
      <w:r>
        <w:rPr>
          <w:b/>
        </w:rPr>
        <w:t>Method</w:t>
      </w:r>
      <w:r>
        <w:t>: Male rabbits presenting a femoral defect were randomly assigned into three groups in a post-test only experimental design, namely K (control), P1 (bovine HA), and P2 (green mussel shell HA). RUST score from femoral x-ray was used to evaluate the bone healing process in 2</w:t>
      </w:r>
      <w:proofErr w:type="gramStart"/>
      <w:r>
        <w:t>, ,</w:t>
      </w:r>
      <w:proofErr w:type="gramEnd"/>
      <w:r>
        <w:t xml:space="preserve"> and sixth weeks. Difference between each group and period were assessed using statistic test and p-value &lt; 0,05 is considered significant.</w:t>
      </w:r>
    </w:p>
    <w:p w:rsidR="00774F92" w:rsidRDefault="00774F92" w:rsidP="00774F92">
      <w:pPr>
        <w:pStyle w:val="BodyText"/>
        <w:ind w:right="162"/>
        <w:jc w:val="both"/>
      </w:pPr>
      <w:r>
        <w:rPr>
          <w:b/>
        </w:rPr>
        <w:t xml:space="preserve">Result: </w:t>
      </w:r>
      <w:r>
        <w:t>36 rabbits were involved and a significant difference was found between the K, P1, and P2</w:t>
      </w:r>
      <w:r>
        <w:rPr>
          <w:spacing w:val="15"/>
        </w:rPr>
        <w:t xml:space="preserve"> </w:t>
      </w:r>
      <w:r>
        <w:t>groups</w:t>
      </w:r>
      <w:r>
        <w:rPr>
          <w:spacing w:val="18"/>
        </w:rPr>
        <w:t xml:space="preserve"> </w:t>
      </w:r>
      <w:r>
        <w:t>at</w:t>
      </w:r>
      <w:r>
        <w:rPr>
          <w:spacing w:val="18"/>
        </w:rPr>
        <w:t xml:space="preserve"> </w:t>
      </w:r>
      <w:r>
        <w:t>week</w:t>
      </w:r>
      <w:r>
        <w:rPr>
          <w:spacing w:val="17"/>
        </w:rPr>
        <w:t xml:space="preserve"> </w:t>
      </w:r>
      <w:r>
        <w:t>2</w:t>
      </w:r>
      <w:r>
        <w:rPr>
          <w:spacing w:val="17"/>
        </w:rPr>
        <w:t xml:space="preserve"> </w:t>
      </w:r>
      <w:r>
        <w:t>(1,33</w:t>
      </w:r>
      <w:r>
        <w:rPr>
          <w:spacing w:val="17"/>
        </w:rPr>
        <w:t xml:space="preserve"> </w:t>
      </w:r>
      <w:r>
        <w:t>±</w:t>
      </w:r>
      <w:r>
        <w:rPr>
          <w:spacing w:val="18"/>
        </w:rPr>
        <w:t xml:space="preserve"> </w:t>
      </w:r>
      <w:r>
        <w:t>0,50,</w:t>
      </w:r>
      <w:r>
        <w:rPr>
          <w:spacing w:val="16"/>
        </w:rPr>
        <w:t xml:space="preserve"> </w:t>
      </w:r>
      <w:r>
        <w:t>2,67</w:t>
      </w:r>
      <w:r>
        <w:rPr>
          <w:spacing w:val="17"/>
        </w:rPr>
        <w:t xml:space="preserve"> </w:t>
      </w:r>
      <w:r>
        <w:t>±</w:t>
      </w:r>
      <w:r>
        <w:rPr>
          <w:spacing w:val="16"/>
        </w:rPr>
        <w:t xml:space="preserve"> </w:t>
      </w:r>
      <w:r>
        <w:t>0,50,</w:t>
      </w:r>
      <w:r>
        <w:rPr>
          <w:spacing w:val="15"/>
        </w:rPr>
        <w:t xml:space="preserve"> </w:t>
      </w:r>
      <w:r>
        <w:t>2,78</w:t>
      </w:r>
      <w:r>
        <w:rPr>
          <w:spacing w:val="17"/>
        </w:rPr>
        <w:t xml:space="preserve"> </w:t>
      </w:r>
      <w:r>
        <w:t>±</w:t>
      </w:r>
      <w:r>
        <w:rPr>
          <w:spacing w:val="18"/>
        </w:rPr>
        <w:t xml:space="preserve"> </w:t>
      </w:r>
      <w:r>
        <w:t>0,44,</w:t>
      </w:r>
      <w:r>
        <w:rPr>
          <w:spacing w:val="15"/>
        </w:rPr>
        <w:t xml:space="preserve"> </w:t>
      </w:r>
      <w:r>
        <w:t>respectively;</w:t>
      </w:r>
      <w:r>
        <w:rPr>
          <w:spacing w:val="18"/>
        </w:rPr>
        <w:t xml:space="preserve"> </w:t>
      </w:r>
      <w:r>
        <w:t>p&lt;0,001)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week</w:t>
      </w:r>
      <w:r>
        <w:rPr>
          <w:spacing w:val="18"/>
        </w:rPr>
        <w:t xml:space="preserve"> </w:t>
      </w:r>
      <w:r>
        <w:rPr>
          <w:spacing w:val="-10"/>
        </w:rPr>
        <w:t>4</w:t>
      </w:r>
    </w:p>
    <w:p w:rsidR="00774F92" w:rsidRDefault="00774F92" w:rsidP="00774F92">
      <w:pPr>
        <w:pStyle w:val="BodyText"/>
        <w:ind w:right="167"/>
        <w:jc w:val="both"/>
      </w:pPr>
      <w:r>
        <w:t>(2,22 ± 0,44, 3,11 ± 0,33, 3,33 ± 0,50, respectively; p=0,003). However, there are no difference between P1 and P2 group in those 2 periods (p&gt;0,05).</w:t>
      </w:r>
    </w:p>
    <w:p w:rsidR="00774F92" w:rsidRDefault="00774F92" w:rsidP="00774F92">
      <w:pPr>
        <w:pStyle w:val="BodyText"/>
        <w:spacing w:before="1"/>
        <w:ind w:right="167"/>
        <w:jc w:val="both"/>
      </w:pPr>
      <w:r>
        <w:rPr>
          <w:b/>
        </w:rPr>
        <w:t xml:space="preserve">Conclusion: </w:t>
      </w:r>
      <w:r>
        <w:t>The effectiveness of HA</w:t>
      </w:r>
      <w:r>
        <w:rPr>
          <w:spacing w:val="-6"/>
        </w:rPr>
        <w:t xml:space="preserve"> </w:t>
      </w:r>
      <w:r>
        <w:t>green mussel shell and HA</w:t>
      </w:r>
      <w:r>
        <w:rPr>
          <w:spacing w:val="-6"/>
        </w:rPr>
        <w:t xml:space="preserve"> </w:t>
      </w:r>
      <w:r>
        <w:t>bovine was found to be nearly similar,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indicated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RUST</w:t>
      </w:r>
      <w:r>
        <w:rPr>
          <w:spacing w:val="-6"/>
        </w:rPr>
        <w:t xml:space="preserve"> </w:t>
      </w:r>
      <w:r>
        <w:t>scores</w:t>
      </w:r>
      <w:r>
        <w:rPr>
          <w:spacing w:val="-1"/>
        </w:rPr>
        <w:t xml:space="preserve"> </w:t>
      </w:r>
      <w:r>
        <w:t>evaluating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bone</w:t>
      </w:r>
      <w:r>
        <w:rPr>
          <w:spacing w:val="-2"/>
        </w:rPr>
        <w:t xml:space="preserve"> </w:t>
      </w:r>
      <w:r>
        <w:t>defect</w:t>
      </w:r>
      <w:r>
        <w:rPr>
          <w:spacing w:val="-1"/>
        </w:rPr>
        <w:t xml:space="preserve"> </w:t>
      </w:r>
      <w:r>
        <w:t>healing</w:t>
      </w:r>
      <w:r>
        <w:rPr>
          <w:spacing w:val="-1"/>
        </w:rPr>
        <w:t xml:space="preserve"> </w:t>
      </w:r>
      <w:r>
        <w:t>process,</w:t>
      </w:r>
      <w:r>
        <w:rPr>
          <w:spacing w:val="-1"/>
        </w:rPr>
        <w:t xml:space="preserve"> </w:t>
      </w:r>
      <w:r>
        <w:t>highlighting potential of using green mussel shell as an alternative HA</w:t>
      </w:r>
      <w:r>
        <w:rPr>
          <w:spacing w:val="-5"/>
        </w:rPr>
        <w:t xml:space="preserve"> </w:t>
      </w:r>
      <w:r>
        <w:t>material for bone grafts.</w:t>
      </w:r>
    </w:p>
    <w:p w:rsidR="00AA2192" w:rsidRDefault="00AA2192"/>
    <w:sectPr w:rsidR="00AA21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F92"/>
    <w:rsid w:val="001636D2"/>
    <w:rsid w:val="004C0715"/>
    <w:rsid w:val="00651D62"/>
    <w:rsid w:val="00774F92"/>
    <w:rsid w:val="00AA2192"/>
    <w:rsid w:val="00E11295"/>
    <w:rsid w:val="00F2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EB61C82-9036-654D-A4C5-4FDD8289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715"/>
  </w:style>
  <w:style w:type="paragraph" w:styleId="Heading1">
    <w:name w:val="heading 1"/>
    <w:basedOn w:val="Normal"/>
    <w:link w:val="Heading1Char"/>
    <w:uiPriority w:val="9"/>
    <w:qFormat/>
    <w:rsid w:val="00774F92"/>
    <w:pPr>
      <w:widowControl w:val="0"/>
      <w:autoSpaceDE w:val="0"/>
      <w:autoSpaceDN w:val="0"/>
      <w:ind w:left="732"/>
      <w:outlineLvl w:val="0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F92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774F92"/>
    <w:pPr>
      <w:widowControl w:val="0"/>
      <w:autoSpaceDE w:val="0"/>
      <w:autoSpaceDN w:val="0"/>
      <w:ind w:left="732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74F92"/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2026-04-15T07:41:00Z</dcterms:created>
  <dcterms:modified xsi:type="dcterms:W3CDTF">2026-04-15T07:42:00Z</dcterms:modified>
</cp:coreProperties>
</file>