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7D" w:rsidRDefault="00A5167D" w:rsidP="00A5167D">
      <w:pPr>
        <w:pStyle w:val="Heading1"/>
      </w:pPr>
      <w:bookmarkStart w:id="0" w:name="_Toc202786232"/>
      <w:r>
        <w:t>BAB IV</w:t>
      </w:r>
      <w:bookmarkEnd w:id="0"/>
    </w:p>
    <w:p w:rsidR="00A5167D" w:rsidRDefault="00A5167D" w:rsidP="00A5167D">
      <w:pPr>
        <w:pStyle w:val="Heading1"/>
      </w:pPr>
      <w:bookmarkStart w:id="1" w:name="_Toc202786233"/>
      <w:r>
        <w:t>HASIL DAN PEMBAHASAN</w:t>
      </w:r>
      <w:bookmarkEnd w:id="1"/>
    </w:p>
    <w:p w:rsidR="00A5167D" w:rsidRPr="001E0007" w:rsidRDefault="00A5167D" w:rsidP="00A5167D">
      <w:pPr>
        <w:pStyle w:val="ListParagraph"/>
        <w:keepNext/>
        <w:keepLines/>
        <w:numPr>
          <w:ilvl w:val="0"/>
          <w:numId w:val="1"/>
        </w:numPr>
        <w:spacing w:before="120" w:after="120" w:line="360" w:lineRule="auto"/>
        <w:contextualSpacing w:val="0"/>
        <w:outlineLvl w:val="1"/>
        <w:rPr>
          <w:rFonts w:ascii="Times New Roman" w:eastAsiaTheme="majorEastAsia" w:hAnsi="Times New Roman" w:cstheme="majorBidi"/>
          <w:b/>
          <w:vanish/>
          <w:color w:val="000000" w:themeColor="text1"/>
          <w:sz w:val="24"/>
          <w:szCs w:val="32"/>
        </w:rPr>
      </w:pPr>
      <w:bookmarkStart w:id="2" w:name="_Toc202215443"/>
      <w:bookmarkStart w:id="3" w:name="_Toc202215803"/>
      <w:bookmarkStart w:id="4" w:name="_Toc202727967"/>
      <w:bookmarkStart w:id="5" w:name="_Toc202785592"/>
      <w:bookmarkStart w:id="6" w:name="_Toc202786234"/>
      <w:bookmarkEnd w:id="2"/>
      <w:bookmarkEnd w:id="3"/>
      <w:bookmarkEnd w:id="4"/>
      <w:bookmarkEnd w:id="5"/>
      <w:bookmarkEnd w:id="6"/>
    </w:p>
    <w:p w:rsidR="00A5167D" w:rsidRDefault="00A5167D" w:rsidP="00A5167D">
      <w:pPr>
        <w:pStyle w:val="Heading2"/>
      </w:pPr>
      <w:bookmarkStart w:id="7" w:name="_Toc202786235"/>
      <w:r>
        <w:t>Deskripsi Objek Penelitian</w:t>
      </w:r>
      <w:bookmarkEnd w:id="7"/>
    </w:p>
    <w:p w:rsidR="00A5167D" w:rsidRPr="00A5167D" w:rsidRDefault="00A5167D" w:rsidP="00A5167D">
      <w:pPr>
        <w:spacing w:line="480" w:lineRule="auto"/>
        <w:ind w:firstLine="720"/>
        <w:jc w:val="both"/>
        <w:rPr>
          <w:rFonts w:ascii="Times New Roman" w:hAnsi="Times New Roman" w:cs="Times New Roman"/>
          <w:sz w:val="24"/>
          <w:szCs w:val="24"/>
          <w:lang w:val="id-ID"/>
        </w:rPr>
      </w:pPr>
      <w:proofErr w:type="gramStart"/>
      <w:r w:rsidRPr="00CF41DF">
        <w:rPr>
          <w:rFonts w:ascii="Times New Roman" w:hAnsi="Times New Roman" w:cs="Times New Roman"/>
          <w:sz w:val="24"/>
          <w:szCs w:val="24"/>
        </w:rPr>
        <w:t>Objek penelitian dalam studi ini adalah perusahaan sektor barang konsumsi yang terdaftar di Bursa Efek Indonesia (BEI) selama periode 2022 hingga 2024.</w:t>
      </w:r>
      <w:proofErr w:type="gramEnd"/>
      <w:r w:rsidRPr="00CF41DF">
        <w:rPr>
          <w:rFonts w:ascii="Times New Roman" w:hAnsi="Times New Roman" w:cs="Times New Roman"/>
          <w:sz w:val="24"/>
          <w:szCs w:val="24"/>
        </w:rPr>
        <w:t xml:space="preserve"> </w:t>
      </w:r>
      <w:proofErr w:type="gramStart"/>
      <w:r w:rsidRPr="00CF41DF">
        <w:rPr>
          <w:rFonts w:ascii="Times New Roman" w:hAnsi="Times New Roman" w:cs="Times New Roman"/>
          <w:sz w:val="24"/>
          <w:szCs w:val="24"/>
        </w:rPr>
        <w:t>Sektor barang konsumsi dipilih karena merupakan salah satu sektor yang memiliki kontribusi besar terhadap pertumbuhan ekonomi nasional, serta memiliki karakteristik aktivitas bisnis yang intensif, terutama dalam hal produksi dan distribusi.</w:t>
      </w:r>
      <w:proofErr w:type="gramEnd"/>
      <w:r w:rsidRPr="00CF41DF">
        <w:rPr>
          <w:rFonts w:ascii="Times New Roman" w:hAnsi="Times New Roman" w:cs="Times New Roman"/>
          <w:sz w:val="24"/>
          <w:szCs w:val="24"/>
        </w:rPr>
        <w:t xml:space="preserve"> </w:t>
      </w:r>
      <w:proofErr w:type="gramStart"/>
      <w:r w:rsidRPr="00CF41DF">
        <w:rPr>
          <w:rFonts w:ascii="Times New Roman" w:hAnsi="Times New Roman" w:cs="Times New Roman"/>
          <w:sz w:val="24"/>
          <w:szCs w:val="24"/>
        </w:rPr>
        <w:t>Perusahaan dalam sektor ini umumnya memiliki volume transaksi yang tinggi, baik tunai maupun kredit, sehingga berpotensi memanfaatkan celah-celah dalam sistem perpajakan untuk melakukan penghindaran pajak.</w:t>
      </w:r>
      <w:proofErr w:type="gramEnd"/>
      <w:r w:rsidRPr="00CF41DF">
        <w:rPr>
          <w:rFonts w:ascii="Times New Roman" w:hAnsi="Times New Roman" w:cs="Times New Roman"/>
          <w:sz w:val="24"/>
          <w:szCs w:val="24"/>
        </w:rPr>
        <w:t xml:space="preserve"> </w:t>
      </w:r>
      <w:proofErr w:type="gramStart"/>
      <w:r w:rsidRPr="00CF41DF">
        <w:rPr>
          <w:rFonts w:ascii="Times New Roman" w:hAnsi="Times New Roman" w:cs="Times New Roman"/>
          <w:sz w:val="24"/>
          <w:szCs w:val="24"/>
        </w:rPr>
        <w:t>Menurut penelitian Putri dan Yuliafitri (2024), perusahaan di sektor barang konsumsi cenderung memiliki insentif untuk menurunkan beban pajak guna menjaga efisiensi operasional, terutama dalam menghadapi persaingan pasar yang ketat.</w:t>
      </w:r>
      <w:proofErr w:type="gramEnd"/>
      <w:r w:rsidRPr="00CF41DF">
        <w:rPr>
          <w:rFonts w:ascii="Times New Roman" w:hAnsi="Times New Roman" w:cs="Times New Roman"/>
          <w:sz w:val="24"/>
          <w:szCs w:val="24"/>
        </w:rPr>
        <w:t xml:space="preserve"> </w:t>
      </w:r>
      <w:proofErr w:type="gramStart"/>
      <w:r w:rsidRPr="00CF41DF">
        <w:rPr>
          <w:rFonts w:ascii="Times New Roman" w:hAnsi="Times New Roman" w:cs="Times New Roman"/>
          <w:sz w:val="24"/>
          <w:szCs w:val="24"/>
        </w:rPr>
        <w:t>Selain itu, Kusumaningsih dan Mujiyati (2024) juga menjelaskan bahwa karakteristik sektor barang konsumsi seperti stabilitas pendapatan dan akses terhadap pembiayaan eksternal turut memengaruhi keputusan manajerial dalam menyusun strategi pajak.</w:t>
      </w:r>
      <w:proofErr w:type="gramEnd"/>
      <w:r w:rsidRPr="00CF41DF">
        <w:rPr>
          <w:rFonts w:ascii="Times New Roman" w:hAnsi="Times New Roman" w:cs="Times New Roman"/>
          <w:sz w:val="24"/>
          <w:szCs w:val="24"/>
        </w:rPr>
        <w:t xml:space="preserve"> Oleh karena itu, pemilihan perusahaan barang konsumsi sebagai objek penelitian dipandang relevan untuk mengkaji pengaruh tingkat utang, profitabilitas, dan ukuran perusahaan terhadap penghindaran pajak.</w:t>
      </w:r>
      <w:bookmarkStart w:id="8" w:name="_GoBack"/>
      <w:bookmarkEnd w:id="8"/>
    </w:p>
    <w:p w:rsidR="00A5167D" w:rsidRDefault="00A5167D" w:rsidP="00A5167D">
      <w:pPr>
        <w:pStyle w:val="Caption"/>
        <w:jc w:val="center"/>
        <w:rPr>
          <w:rFonts w:ascii="Times New Roman" w:hAnsi="Times New Roman" w:cs="Times New Roman"/>
          <w:b/>
          <w:bCs/>
          <w:i w:val="0"/>
          <w:iCs w:val="0"/>
          <w:color w:val="auto"/>
          <w:sz w:val="24"/>
          <w:szCs w:val="24"/>
        </w:rPr>
      </w:pPr>
      <w:bookmarkStart w:id="9" w:name="_Toc202719543"/>
      <w:bookmarkStart w:id="10" w:name="_Toc202720435"/>
      <w:proofErr w:type="gramStart"/>
      <w:r w:rsidRPr="00C40EC4">
        <w:rPr>
          <w:rFonts w:ascii="Times New Roman" w:hAnsi="Times New Roman" w:cs="Times New Roman"/>
          <w:b/>
          <w:bCs/>
          <w:i w:val="0"/>
          <w:iCs w:val="0"/>
          <w:color w:val="auto"/>
          <w:sz w:val="24"/>
          <w:szCs w:val="24"/>
        </w:rPr>
        <w:t>Tabel 4.</w:t>
      </w:r>
      <w:proofErr w:type="gramEnd"/>
      <w:r w:rsidRPr="00C40EC4">
        <w:rPr>
          <w:rFonts w:ascii="Times New Roman" w:hAnsi="Times New Roman" w:cs="Times New Roman"/>
          <w:b/>
          <w:bCs/>
          <w:i w:val="0"/>
          <w:iCs w:val="0"/>
          <w:color w:val="auto"/>
          <w:sz w:val="24"/>
          <w:szCs w:val="24"/>
        </w:rPr>
        <w:t xml:space="preserve"> </w:t>
      </w:r>
      <w:r w:rsidRPr="00C40EC4">
        <w:rPr>
          <w:rFonts w:ascii="Times New Roman" w:hAnsi="Times New Roman" w:cs="Times New Roman"/>
          <w:b/>
          <w:bCs/>
          <w:i w:val="0"/>
          <w:iCs w:val="0"/>
          <w:color w:val="auto"/>
          <w:sz w:val="24"/>
          <w:szCs w:val="24"/>
        </w:rPr>
        <w:fldChar w:fldCharType="begin"/>
      </w:r>
      <w:r w:rsidRPr="00C40EC4">
        <w:rPr>
          <w:rFonts w:ascii="Times New Roman" w:hAnsi="Times New Roman" w:cs="Times New Roman"/>
          <w:b/>
          <w:bCs/>
          <w:i w:val="0"/>
          <w:iCs w:val="0"/>
          <w:color w:val="auto"/>
          <w:sz w:val="24"/>
          <w:szCs w:val="24"/>
        </w:rPr>
        <w:instrText xml:space="preserve"> SEQ Tabel_4. \* ARABIC </w:instrText>
      </w:r>
      <w:r w:rsidRPr="00C40EC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C40EC4">
        <w:rPr>
          <w:rFonts w:ascii="Times New Roman" w:hAnsi="Times New Roman" w:cs="Times New Roman"/>
          <w:b/>
          <w:bCs/>
          <w:i w:val="0"/>
          <w:iCs w:val="0"/>
          <w:color w:val="auto"/>
          <w:sz w:val="24"/>
          <w:szCs w:val="24"/>
        </w:rPr>
        <w:fldChar w:fldCharType="end"/>
      </w:r>
      <w:r w:rsidRPr="00C40EC4">
        <w:rPr>
          <w:rFonts w:ascii="Times New Roman" w:hAnsi="Times New Roman" w:cs="Times New Roman"/>
          <w:b/>
          <w:bCs/>
          <w:i w:val="0"/>
          <w:iCs w:val="0"/>
          <w:color w:val="auto"/>
          <w:sz w:val="24"/>
          <w:szCs w:val="24"/>
        </w:rPr>
        <w:t xml:space="preserve"> </w:t>
      </w:r>
    </w:p>
    <w:p w:rsidR="00A5167D" w:rsidRPr="00C40EC4" w:rsidRDefault="00A5167D" w:rsidP="00A5167D">
      <w:pPr>
        <w:pStyle w:val="Caption"/>
        <w:jc w:val="center"/>
        <w:rPr>
          <w:rFonts w:ascii="Times New Roman" w:hAnsi="Times New Roman" w:cs="Times New Roman"/>
          <w:b/>
          <w:bCs/>
          <w:i w:val="0"/>
          <w:iCs w:val="0"/>
          <w:color w:val="auto"/>
          <w:sz w:val="24"/>
          <w:szCs w:val="24"/>
        </w:rPr>
      </w:pPr>
      <w:r w:rsidRPr="00C40EC4">
        <w:rPr>
          <w:rFonts w:ascii="Times New Roman" w:hAnsi="Times New Roman" w:cs="Times New Roman"/>
          <w:b/>
          <w:bCs/>
          <w:i w:val="0"/>
          <w:iCs w:val="0"/>
          <w:color w:val="auto"/>
          <w:sz w:val="24"/>
          <w:szCs w:val="24"/>
        </w:rPr>
        <w:t>Kriteria Pemilihan Sampel</w:t>
      </w:r>
      <w:bookmarkEnd w:id="9"/>
      <w:bookmarkEnd w:id="10"/>
    </w:p>
    <w:tbl>
      <w:tblPr>
        <w:tblStyle w:val="TableGrid"/>
        <w:tblW w:w="0" w:type="auto"/>
        <w:tblLook w:val="04A0" w:firstRow="1" w:lastRow="0" w:firstColumn="1" w:lastColumn="0" w:noHBand="0" w:noVBand="1"/>
      </w:tblPr>
      <w:tblGrid>
        <w:gridCol w:w="510"/>
        <w:gridCol w:w="7742"/>
        <w:gridCol w:w="990"/>
      </w:tblGrid>
      <w:tr w:rsidR="00A5167D" w:rsidRPr="00874379" w:rsidTr="00471759">
        <w:tc>
          <w:tcPr>
            <w:tcW w:w="0" w:type="auto"/>
          </w:tcPr>
          <w:p w:rsidR="00A5167D" w:rsidRPr="00874379" w:rsidRDefault="00A5167D" w:rsidP="00471759">
            <w:pPr>
              <w:spacing w:line="480" w:lineRule="auto"/>
              <w:jc w:val="center"/>
              <w:rPr>
                <w:rFonts w:ascii="Times New Roman" w:hAnsi="Times New Roman" w:cs="Times New Roman"/>
                <w:b/>
                <w:bCs/>
                <w:szCs w:val="24"/>
              </w:rPr>
            </w:pPr>
            <w:r w:rsidRPr="00730EBE">
              <w:rPr>
                <w:rFonts w:ascii="Times New Roman" w:hAnsi="Times New Roman" w:cs="Times New Roman"/>
                <w:b/>
                <w:bCs/>
                <w:szCs w:val="24"/>
              </w:rPr>
              <w:t>No</w:t>
            </w:r>
          </w:p>
        </w:tc>
        <w:tc>
          <w:tcPr>
            <w:tcW w:w="0" w:type="auto"/>
          </w:tcPr>
          <w:p w:rsidR="00A5167D" w:rsidRPr="00874379" w:rsidRDefault="00A5167D" w:rsidP="00471759">
            <w:pPr>
              <w:spacing w:line="480" w:lineRule="auto"/>
              <w:jc w:val="both"/>
              <w:rPr>
                <w:rFonts w:ascii="Times New Roman" w:hAnsi="Times New Roman" w:cs="Times New Roman"/>
                <w:b/>
                <w:bCs/>
                <w:szCs w:val="24"/>
              </w:rPr>
            </w:pPr>
            <w:r w:rsidRPr="00730EBE">
              <w:rPr>
                <w:rFonts w:ascii="Times New Roman" w:hAnsi="Times New Roman" w:cs="Times New Roman"/>
                <w:b/>
                <w:bCs/>
                <w:szCs w:val="24"/>
              </w:rPr>
              <w:t>Kriteria Pemilihan Sampel</w:t>
            </w:r>
          </w:p>
        </w:tc>
        <w:tc>
          <w:tcPr>
            <w:tcW w:w="0" w:type="auto"/>
          </w:tcPr>
          <w:p w:rsidR="00A5167D" w:rsidRPr="00874379" w:rsidRDefault="00A5167D" w:rsidP="00471759">
            <w:pPr>
              <w:spacing w:line="480" w:lineRule="auto"/>
              <w:jc w:val="center"/>
              <w:rPr>
                <w:rFonts w:ascii="Times New Roman" w:hAnsi="Times New Roman" w:cs="Times New Roman"/>
                <w:b/>
                <w:bCs/>
                <w:szCs w:val="24"/>
              </w:rPr>
            </w:pPr>
            <w:r w:rsidRPr="00730EBE">
              <w:rPr>
                <w:rFonts w:ascii="Times New Roman" w:hAnsi="Times New Roman" w:cs="Times New Roman"/>
                <w:b/>
                <w:bCs/>
                <w:szCs w:val="24"/>
              </w:rPr>
              <w:t>Jumlah</w:t>
            </w:r>
          </w:p>
        </w:tc>
      </w:tr>
      <w:tr w:rsidR="00A5167D" w:rsidRPr="00874379" w:rsidTr="00471759">
        <w:tc>
          <w:tcPr>
            <w:tcW w:w="0" w:type="auto"/>
          </w:tcPr>
          <w:p w:rsidR="00A5167D" w:rsidRPr="00874379" w:rsidRDefault="00A5167D" w:rsidP="00471759">
            <w:pPr>
              <w:spacing w:line="480" w:lineRule="auto"/>
              <w:jc w:val="both"/>
              <w:rPr>
                <w:rFonts w:ascii="Times New Roman" w:hAnsi="Times New Roman" w:cs="Times New Roman"/>
                <w:szCs w:val="24"/>
              </w:rPr>
            </w:pPr>
            <w:r w:rsidRPr="00730EBE">
              <w:rPr>
                <w:rFonts w:ascii="Times New Roman" w:hAnsi="Times New Roman" w:cs="Times New Roman"/>
                <w:szCs w:val="24"/>
              </w:rPr>
              <w:t xml:space="preserve">1 </w:t>
            </w:r>
          </w:p>
        </w:tc>
        <w:tc>
          <w:tcPr>
            <w:tcW w:w="0" w:type="auto"/>
          </w:tcPr>
          <w:p w:rsidR="00A5167D" w:rsidRPr="00874379" w:rsidRDefault="00A5167D" w:rsidP="00471759">
            <w:pPr>
              <w:spacing w:line="480" w:lineRule="auto"/>
              <w:jc w:val="both"/>
              <w:rPr>
                <w:rFonts w:ascii="Times New Roman" w:hAnsi="Times New Roman" w:cs="Times New Roman"/>
                <w:szCs w:val="24"/>
              </w:rPr>
            </w:pPr>
            <w:r w:rsidRPr="00730EBE">
              <w:rPr>
                <w:rFonts w:ascii="Times New Roman" w:hAnsi="Times New Roman" w:cs="Times New Roman"/>
                <w:szCs w:val="24"/>
              </w:rPr>
              <w:t>Perusahaan manufaktur sektor barang konsumsi yang terdaftar di BEI tahun</w:t>
            </w:r>
            <w:r w:rsidRPr="00874379">
              <w:rPr>
                <w:rFonts w:ascii="Times New Roman" w:hAnsi="Times New Roman" w:cs="Times New Roman"/>
                <w:szCs w:val="24"/>
              </w:rPr>
              <w:t xml:space="preserve"> </w:t>
            </w:r>
            <w:r w:rsidRPr="00730EBE">
              <w:rPr>
                <w:rFonts w:ascii="Times New Roman" w:hAnsi="Times New Roman" w:cs="Times New Roman"/>
                <w:szCs w:val="24"/>
              </w:rPr>
              <w:t>2022–2024</w:t>
            </w:r>
          </w:p>
        </w:tc>
        <w:tc>
          <w:tcPr>
            <w:tcW w:w="0" w:type="auto"/>
          </w:tcPr>
          <w:p w:rsidR="00A5167D" w:rsidRPr="00874379"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53</w:t>
            </w:r>
          </w:p>
        </w:tc>
      </w:tr>
      <w:tr w:rsidR="00A5167D" w:rsidRPr="00730EBE" w:rsidTr="00471759">
        <w:tc>
          <w:tcPr>
            <w:tcW w:w="0" w:type="auto"/>
          </w:tcPr>
          <w:p w:rsidR="00A5167D" w:rsidRPr="00874379" w:rsidRDefault="00A5167D" w:rsidP="00471759">
            <w:pPr>
              <w:spacing w:line="480" w:lineRule="auto"/>
              <w:jc w:val="both"/>
              <w:rPr>
                <w:rFonts w:ascii="Times New Roman" w:hAnsi="Times New Roman" w:cs="Times New Roman"/>
                <w:szCs w:val="24"/>
              </w:rPr>
            </w:pPr>
            <w:r w:rsidRPr="00730EBE">
              <w:rPr>
                <w:rFonts w:ascii="Times New Roman" w:hAnsi="Times New Roman" w:cs="Times New Roman"/>
                <w:szCs w:val="24"/>
              </w:rPr>
              <w:t xml:space="preserve">2 </w:t>
            </w:r>
          </w:p>
        </w:tc>
        <w:tc>
          <w:tcPr>
            <w:tcW w:w="0" w:type="auto"/>
          </w:tcPr>
          <w:p w:rsidR="00A5167D" w:rsidRPr="00874379" w:rsidRDefault="00A5167D" w:rsidP="00471759">
            <w:pPr>
              <w:spacing w:line="480" w:lineRule="auto"/>
              <w:jc w:val="both"/>
              <w:rPr>
                <w:rFonts w:ascii="Times New Roman" w:hAnsi="Times New Roman" w:cs="Times New Roman"/>
                <w:szCs w:val="24"/>
              </w:rPr>
            </w:pPr>
            <w:r w:rsidRPr="00730EBE">
              <w:rPr>
                <w:rFonts w:ascii="Times New Roman" w:hAnsi="Times New Roman" w:cs="Times New Roman"/>
                <w:szCs w:val="24"/>
              </w:rPr>
              <w:t xml:space="preserve">Perusahaan </w:t>
            </w:r>
            <w:r>
              <w:rPr>
                <w:rFonts w:ascii="Times New Roman" w:hAnsi="Times New Roman" w:cs="Times New Roman"/>
                <w:szCs w:val="24"/>
              </w:rPr>
              <w:t xml:space="preserve">manufaktur sektor barang konsumsi </w:t>
            </w:r>
            <w:r w:rsidRPr="00730EBE">
              <w:rPr>
                <w:rFonts w:ascii="Times New Roman" w:hAnsi="Times New Roman" w:cs="Times New Roman"/>
                <w:szCs w:val="24"/>
              </w:rPr>
              <w:t xml:space="preserve">yang mengalami kerugian </w:t>
            </w:r>
            <w:r w:rsidRPr="00730EBE">
              <w:rPr>
                <w:rFonts w:ascii="Times New Roman" w:hAnsi="Times New Roman" w:cs="Times New Roman"/>
                <w:szCs w:val="24"/>
              </w:rPr>
              <w:lastRenderedPageBreak/>
              <w:t>selama periode 2022–2024</w:t>
            </w:r>
          </w:p>
        </w:tc>
        <w:tc>
          <w:tcPr>
            <w:tcW w:w="0" w:type="auto"/>
          </w:tcPr>
          <w:p w:rsidR="00A5167D" w:rsidRPr="00730EBE" w:rsidRDefault="00A5167D" w:rsidP="00471759">
            <w:pPr>
              <w:spacing w:line="480" w:lineRule="auto"/>
              <w:jc w:val="center"/>
              <w:rPr>
                <w:rFonts w:ascii="Times New Roman" w:hAnsi="Times New Roman" w:cs="Times New Roman"/>
                <w:szCs w:val="24"/>
              </w:rPr>
            </w:pPr>
            <w:r w:rsidRPr="00730EBE">
              <w:rPr>
                <w:rFonts w:ascii="Times New Roman" w:hAnsi="Times New Roman" w:cs="Times New Roman"/>
                <w:szCs w:val="24"/>
              </w:rPr>
              <w:lastRenderedPageBreak/>
              <w:t>22</w:t>
            </w:r>
          </w:p>
        </w:tc>
      </w:tr>
      <w:tr w:rsidR="00A5167D" w:rsidRPr="00874379" w:rsidTr="00471759">
        <w:tc>
          <w:tcPr>
            <w:tcW w:w="6941" w:type="dxa"/>
            <w:gridSpan w:val="2"/>
          </w:tcPr>
          <w:p w:rsidR="00A5167D" w:rsidRPr="00DD326A" w:rsidRDefault="00A5167D" w:rsidP="00471759">
            <w:pPr>
              <w:spacing w:line="480" w:lineRule="auto"/>
              <w:jc w:val="both"/>
              <w:rPr>
                <w:rFonts w:ascii="Times New Roman" w:hAnsi="Times New Roman" w:cs="Times New Roman"/>
                <w:b/>
                <w:bCs/>
                <w:szCs w:val="24"/>
              </w:rPr>
            </w:pPr>
            <w:r w:rsidRPr="00730EBE">
              <w:rPr>
                <w:rFonts w:ascii="Times New Roman" w:hAnsi="Times New Roman" w:cs="Times New Roman"/>
                <w:b/>
                <w:bCs/>
                <w:szCs w:val="24"/>
              </w:rPr>
              <w:lastRenderedPageBreak/>
              <w:t>Jumlah perusahaan yang memenuhi kriteria</w:t>
            </w:r>
          </w:p>
        </w:tc>
        <w:tc>
          <w:tcPr>
            <w:tcW w:w="491" w:type="dxa"/>
          </w:tcPr>
          <w:p w:rsidR="00A5167D" w:rsidRPr="00874379"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31</w:t>
            </w:r>
          </w:p>
        </w:tc>
      </w:tr>
      <w:tr w:rsidR="00A5167D" w:rsidRPr="00874379" w:rsidTr="00471759">
        <w:tc>
          <w:tcPr>
            <w:tcW w:w="6941" w:type="dxa"/>
            <w:gridSpan w:val="2"/>
          </w:tcPr>
          <w:p w:rsidR="00A5167D" w:rsidRPr="00DD326A" w:rsidRDefault="00A5167D" w:rsidP="00471759">
            <w:pPr>
              <w:spacing w:line="480" w:lineRule="auto"/>
              <w:jc w:val="both"/>
              <w:rPr>
                <w:rFonts w:ascii="Times New Roman" w:hAnsi="Times New Roman" w:cs="Times New Roman"/>
                <w:b/>
                <w:bCs/>
                <w:szCs w:val="24"/>
              </w:rPr>
            </w:pPr>
            <w:r w:rsidRPr="00730EBE">
              <w:rPr>
                <w:rFonts w:ascii="Times New Roman" w:hAnsi="Times New Roman" w:cs="Times New Roman"/>
                <w:b/>
                <w:bCs/>
                <w:szCs w:val="24"/>
              </w:rPr>
              <w:t>Jumlah observasi (31 perusahaan × 3 tahun)</w:t>
            </w:r>
          </w:p>
        </w:tc>
        <w:tc>
          <w:tcPr>
            <w:tcW w:w="491" w:type="dxa"/>
          </w:tcPr>
          <w:p w:rsidR="00A5167D" w:rsidRPr="00874379"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93</w:t>
            </w:r>
          </w:p>
        </w:tc>
      </w:tr>
      <w:tr w:rsidR="00A5167D" w:rsidRPr="00874379" w:rsidTr="00471759">
        <w:tc>
          <w:tcPr>
            <w:tcW w:w="6941" w:type="dxa"/>
            <w:gridSpan w:val="2"/>
          </w:tcPr>
          <w:p w:rsidR="00A5167D" w:rsidRPr="007E08B1" w:rsidRDefault="00A5167D" w:rsidP="00471759">
            <w:pPr>
              <w:spacing w:line="480" w:lineRule="auto"/>
              <w:jc w:val="both"/>
              <w:rPr>
                <w:rFonts w:ascii="Times New Roman" w:hAnsi="Times New Roman" w:cs="Times New Roman"/>
                <w:b/>
                <w:bCs/>
                <w:i/>
                <w:iCs/>
                <w:szCs w:val="24"/>
              </w:rPr>
            </w:pPr>
            <w:r w:rsidRPr="007E08B1">
              <w:rPr>
                <w:rFonts w:ascii="Times New Roman" w:hAnsi="Times New Roman" w:cs="Times New Roman"/>
                <w:b/>
                <w:bCs/>
                <w:i/>
                <w:iCs/>
                <w:szCs w:val="24"/>
              </w:rPr>
              <w:t>O</w:t>
            </w:r>
            <w:r w:rsidRPr="00730EBE">
              <w:rPr>
                <w:rFonts w:ascii="Times New Roman" w:hAnsi="Times New Roman" w:cs="Times New Roman"/>
                <w:b/>
                <w:bCs/>
                <w:i/>
                <w:iCs/>
                <w:szCs w:val="24"/>
              </w:rPr>
              <w:t>utlier</w:t>
            </w:r>
          </w:p>
        </w:tc>
        <w:tc>
          <w:tcPr>
            <w:tcW w:w="491" w:type="dxa"/>
          </w:tcPr>
          <w:p w:rsidR="00A5167D" w:rsidRPr="00874379"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18</w:t>
            </w:r>
          </w:p>
        </w:tc>
      </w:tr>
      <w:tr w:rsidR="00A5167D" w:rsidRPr="00874379" w:rsidTr="00471759">
        <w:tc>
          <w:tcPr>
            <w:tcW w:w="6941" w:type="dxa"/>
            <w:gridSpan w:val="2"/>
          </w:tcPr>
          <w:p w:rsidR="00A5167D" w:rsidRPr="00DD326A" w:rsidRDefault="00A5167D" w:rsidP="00471759">
            <w:pPr>
              <w:spacing w:line="480" w:lineRule="auto"/>
              <w:jc w:val="both"/>
              <w:rPr>
                <w:rFonts w:ascii="Times New Roman" w:hAnsi="Times New Roman" w:cs="Times New Roman"/>
                <w:b/>
                <w:bCs/>
                <w:szCs w:val="24"/>
              </w:rPr>
            </w:pPr>
            <w:r w:rsidRPr="00730EBE">
              <w:rPr>
                <w:rFonts w:ascii="Times New Roman" w:hAnsi="Times New Roman" w:cs="Times New Roman"/>
                <w:b/>
                <w:bCs/>
                <w:szCs w:val="24"/>
              </w:rPr>
              <w:t>Jumlah data akhir yang digunakan dalam penelitian</w:t>
            </w:r>
          </w:p>
        </w:tc>
        <w:tc>
          <w:tcPr>
            <w:tcW w:w="491" w:type="dxa"/>
          </w:tcPr>
          <w:p w:rsidR="00A5167D" w:rsidRPr="00874379"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75</w:t>
            </w:r>
          </w:p>
        </w:tc>
      </w:tr>
    </w:tbl>
    <w:p w:rsidR="00A5167D" w:rsidRDefault="00A5167D" w:rsidP="00A5167D">
      <w:pPr>
        <w:spacing w:line="480" w:lineRule="auto"/>
        <w:jc w:val="both"/>
        <w:rPr>
          <w:rFonts w:ascii="Times New Roman" w:hAnsi="Times New Roman" w:cs="Times New Roman"/>
          <w:sz w:val="24"/>
          <w:szCs w:val="24"/>
        </w:rPr>
      </w:pPr>
    </w:p>
    <w:p w:rsidR="00A5167D" w:rsidRDefault="00A5167D" w:rsidP="00A5167D">
      <w:pPr>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sampel yang memenuhi kriteria maka diperoleh 31 perusahaan yang menjadi sampel dalam penelitian yang terdapat pada tabel berikut:</w:t>
      </w:r>
    </w:p>
    <w:p w:rsidR="00A5167D" w:rsidRDefault="00A5167D" w:rsidP="00A5167D">
      <w:pPr>
        <w:pStyle w:val="Caption"/>
        <w:jc w:val="center"/>
        <w:rPr>
          <w:rFonts w:ascii="Times New Roman" w:hAnsi="Times New Roman" w:cs="Times New Roman"/>
          <w:b/>
          <w:bCs/>
          <w:i w:val="0"/>
          <w:iCs w:val="0"/>
          <w:color w:val="auto"/>
          <w:sz w:val="24"/>
          <w:szCs w:val="24"/>
        </w:rPr>
      </w:pPr>
      <w:bookmarkStart w:id="11" w:name="_Toc202719544"/>
      <w:bookmarkStart w:id="12" w:name="_Toc202720436"/>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Daftar Perusahaan</w:t>
      </w:r>
      <w:bookmarkEnd w:id="11"/>
      <w:bookmarkEnd w:id="12"/>
    </w:p>
    <w:tbl>
      <w:tblPr>
        <w:tblStyle w:val="TableGrid"/>
        <w:tblW w:w="8079" w:type="dxa"/>
        <w:tblLook w:val="04A0" w:firstRow="1" w:lastRow="0" w:firstColumn="1" w:lastColumn="0" w:noHBand="0" w:noVBand="1"/>
      </w:tblPr>
      <w:tblGrid>
        <w:gridCol w:w="570"/>
        <w:gridCol w:w="2022"/>
        <w:gridCol w:w="5487"/>
      </w:tblGrid>
      <w:tr w:rsidR="00A5167D" w:rsidTr="00471759">
        <w:trPr>
          <w:trHeight w:val="73"/>
        </w:trPr>
        <w:tc>
          <w:tcPr>
            <w:tcW w:w="570" w:type="dxa"/>
          </w:tcPr>
          <w:p w:rsidR="00A5167D"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No</w:t>
            </w:r>
          </w:p>
        </w:tc>
        <w:tc>
          <w:tcPr>
            <w:tcW w:w="2022" w:type="dxa"/>
          </w:tcPr>
          <w:p w:rsidR="00A5167D"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Kode Perusahaan</w:t>
            </w:r>
          </w:p>
        </w:tc>
        <w:tc>
          <w:tcPr>
            <w:tcW w:w="5487" w:type="dxa"/>
          </w:tcPr>
          <w:p w:rsidR="00A5167D"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Nama Perusahaan</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CAMP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Campina Ice Cream Industry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CEKA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Wilmar Cahaya Indonesia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3.</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CLEO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Sariguna Primatirta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4.</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DLTA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Delta Djakarta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5.</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DMND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Diamond Food Indonesia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6.</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GOOD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Garudafood Putra Putri Jaya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7.</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ICBP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Indofood Sukses Makmur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8.</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IKAN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Era Mandiri Cemerlang Tbk</w:t>
            </w:r>
          </w:p>
        </w:tc>
      </w:tr>
      <w:tr w:rsidR="00A5167D" w:rsidTr="00471759">
        <w:trPr>
          <w:trHeight w:val="73"/>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lastRenderedPageBreak/>
              <w:t>9.</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INDF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Indofood Sukses Makmur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10.</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KEJU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Mulia Boga Raya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11.</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MLBI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Multi Bintang Indonesia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12.</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MYOR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Mayora Indah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13.</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PSGO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Palma Serasih Tbk</w:t>
            </w:r>
          </w:p>
        </w:tc>
      </w:tr>
      <w:tr w:rsidR="00A5167D" w:rsidTr="00471759">
        <w:trPr>
          <w:trHeight w:val="280"/>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14.</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ROTI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Nippon Indosari Corpindo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15.</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SKLT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Sekar Laut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16.</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STTP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Siantar Top Tbk</w:t>
            </w:r>
          </w:p>
        </w:tc>
      </w:tr>
      <w:tr w:rsidR="00A5167D" w:rsidTr="00471759">
        <w:trPr>
          <w:trHeight w:val="575"/>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17.</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ULTJ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Ultra Jaya Milk industry and Trading company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18.</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GGRM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Gudang Garam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19.</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HMSP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HAnjaya Mandala Sampoerna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20.</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ITIC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Indonesia Tobacco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21.</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WIIM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Wismilak Inti Makmur Tbk</w:t>
            </w:r>
          </w:p>
        </w:tc>
      </w:tr>
      <w:tr w:rsidR="00A5167D" w:rsidTr="00471759">
        <w:trPr>
          <w:trHeight w:val="280"/>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22.</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DVLA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Darya-Varia Labotaria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23.</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KLBF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Kalbe Farma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24.</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MERK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Merck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25.</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SCPI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Organo Pharma Indonesia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lastRenderedPageBreak/>
              <w:t>26.</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SIDO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Industri Jamu dan Farmasi Sido Muncul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27.</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TSPC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Tempo Scan Pacific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28.</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ADES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Akasha Wira International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29.</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UNVR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Unilever Tbk</w:t>
            </w:r>
          </w:p>
        </w:tc>
      </w:tr>
      <w:tr w:rsidR="00A5167D" w:rsidTr="00471759">
        <w:trPr>
          <w:trHeight w:val="280"/>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30.</w:t>
            </w:r>
          </w:p>
        </w:tc>
        <w:tc>
          <w:tcPr>
            <w:tcW w:w="2022" w:type="dxa"/>
          </w:tcPr>
          <w:p w:rsidR="00A5167D" w:rsidRDefault="00A5167D" w:rsidP="00471759">
            <w:pPr>
              <w:spacing w:line="480" w:lineRule="auto"/>
              <w:jc w:val="both"/>
              <w:rPr>
                <w:rFonts w:ascii="Times New Roman" w:hAnsi="Times New Roman" w:cs="Times New Roman"/>
                <w:szCs w:val="24"/>
              </w:rPr>
            </w:pPr>
            <w:r w:rsidRPr="00E27949">
              <w:t xml:space="preserve">WOOD </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Integra Indocabinet Tbk</w:t>
            </w:r>
          </w:p>
        </w:tc>
      </w:tr>
      <w:tr w:rsidR="00A5167D" w:rsidTr="00471759">
        <w:trPr>
          <w:trHeight w:val="286"/>
        </w:trPr>
        <w:tc>
          <w:tcPr>
            <w:tcW w:w="570"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31.</w:t>
            </w:r>
          </w:p>
        </w:tc>
        <w:tc>
          <w:tcPr>
            <w:tcW w:w="2022" w:type="dxa"/>
          </w:tcPr>
          <w:p w:rsidR="00A5167D" w:rsidRDefault="00A5167D" w:rsidP="00471759">
            <w:pPr>
              <w:spacing w:line="480" w:lineRule="auto"/>
              <w:jc w:val="both"/>
              <w:rPr>
                <w:rFonts w:ascii="Times New Roman" w:hAnsi="Times New Roman" w:cs="Times New Roman"/>
                <w:szCs w:val="24"/>
              </w:rPr>
            </w:pPr>
            <w:r w:rsidRPr="00E27949">
              <w:t>HRTA</w:t>
            </w:r>
          </w:p>
        </w:tc>
        <w:tc>
          <w:tcPr>
            <w:tcW w:w="5487" w:type="dxa"/>
          </w:tcPr>
          <w:p w:rsidR="00A5167D" w:rsidRDefault="00A5167D" w:rsidP="00471759">
            <w:pPr>
              <w:spacing w:line="480" w:lineRule="auto"/>
              <w:jc w:val="both"/>
              <w:rPr>
                <w:rFonts w:ascii="Times New Roman" w:hAnsi="Times New Roman" w:cs="Times New Roman"/>
                <w:szCs w:val="24"/>
              </w:rPr>
            </w:pPr>
            <w:r>
              <w:rPr>
                <w:rFonts w:ascii="Times New Roman" w:hAnsi="Times New Roman" w:cs="Times New Roman"/>
                <w:szCs w:val="24"/>
              </w:rPr>
              <w:t>PT. Hartadinata Abadi Tbk</w:t>
            </w:r>
          </w:p>
        </w:tc>
      </w:tr>
    </w:tbl>
    <w:p w:rsidR="00A5167D" w:rsidRDefault="00A5167D" w:rsidP="00A5167D">
      <w:pPr>
        <w:pStyle w:val="Heading2"/>
      </w:pPr>
      <w:bookmarkStart w:id="13" w:name="_Toc202786236"/>
      <w:r>
        <w:t>Analisis Data</w:t>
      </w:r>
      <w:bookmarkEnd w:id="13"/>
    </w:p>
    <w:p w:rsidR="00A5167D" w:rsidRDefault="00A5167D" w:rsidP="00A5167D">
      <w:pPr>
        <w:pStyle w:val="Heading3"/>
      </w:pPr>
      <w:bookmarkStart w:id="14" w:name="_Toc202786237"/>
      <w:r>
        <w:t xml:space="preserve">4.2.1  </w:t>
      </w:r>
      <w:r>
        <w:tab/>
        <w:t>Analisis Statistik Desakriptif</w:t>
      </w:r>
      <w:bookmarkEnd w:id="14"/>
      <w:r>
        <w:t xml:space="preserve"> </w:t>
      </w:r>
    </w:p>
    <w:p w:rsidR="00A5167D" w:rsidRDefault="00A5167D" w:rsidP="00A5167D">
      <w:pPr>
        <w:spacing w:line="360" w:lineRule="auto"/>
        <w:jc w:val="both"/>
        <w:rPr>
          <w:rFonts w:ascii="Times New Roman" w:hAnsi="Times New Roman" w:cs="Times New Roman"/>
          <w:sz w:val="24"/>
          <w:szCs w:val="24"/>
        </w:rPr>
      </w:pPr>
      <w:r>
        <w:rPr>
          <w:rFonts w:ascii="Times New Roman" w:hAnsi="Times New Roman" w:cs="Times New Roman"/>
          <w:sz w:val="24"/>
          <w:szCs w:val="24"/>
        </w:rPr>
        <w:tab/>
        <w:t>Uji statistik deskriptif bermaksud menerangkan ringkasan data yang komprehesif, termasuk pengukuran seperti kuantitas data, nilai minimum serta maksimum, rata-rata, serta standar deviasi (Ghozali</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w:t>
      </w:r>
    </w:p>
    <w:p w:rsidR="00A5167D" w:rsidRDefault="00A5167D" w:rsidP="00A5167D">
      <w:pPr>
        <w:pStyle w:val="Caption"/>
        <w:jc w:val="center"/>
        <w:rPr>
          <w:rFonts w:ascii="Times New Roman" w:hAnsi="Times New Roman" w:cs="Times New Roman"/>
          <w:b/>
          <w:bCs/>
          <w:i w:val="0"/>
          <w:iCs w:val="0"/>
          <w:color w:val="auto"/>
          <w:sz w:val="24"/>
          <w:szCs w:val="24"/>
        </w:rPr>
      </w:pPr>
      <w:bookmarkStart w:id="15" w:name="_Toc202719545"/>
      <w:bookmarkStart w:id="16" w:name="_Toc202720437"/>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t xml:space="preserve"> </w:t>
      </w:r>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Hasil uji Statistik Deskriptif</w:t>
      </w:r>
      <w:bookmarkEnd w:id="15"/>
      <w:bookmarkEnd w:id="16"/>
    </w:p>
    <w:tbl>
      <w:tblPr>
        <w:tblpPr w:leftFromText="180" w:rightFromText="180" w:vertAnchor="text" w:tblpY="1"/>
        <w:tblOverlap w:val="never"/>
        <w:tblW w:w="8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9"/>
        <w:gridCol w:w="1079"/>
        <w:gridCol w:w="1127"/>
        <w:gridCol w:w="1159"/>
        <w:gridCol w:w="1079"/>
        <w:gridCol w:w="1521"/>
      </w:tblGrid>
      <w:tr w:rsidR="00A5167D" w:rsidRPr="00D146E8" w:rsidTr="00471759">
        <w:trPr>
          <w:cantSplit/>
          <w:trHeight w:val="319"/>
        </w:trPr>
        <w:tc>
          <w:tcPr>
            <w:tcW w:w="8074" w:type="dxa"/>
            <w:gridSpan w:val="6"/>
            <w:shd w:val="clear" w:color="auto" w:fill="auto"/>
            <w:vAlign w:val="center"/>
          </w:tcPr>
          <w:p w:rsidR="00A5167D" w:rsidRPr="00D146E8" w:rsidRDefault="00A5167D" w:rsidP="00471759">
            <w:pPr>
              <w:jc w:val="center"/>
            </w:pPr>
            <w:r w:rsidRPr="00D146E8">
              <w:rPr>
                <w:b/>
                <w:bCs/>
              </w:rPr>
              <w:t>Descriptive Statistics</w:t>
            </w:r>
          </w:p>
        </w:tc>
      </w:tr>
      <w:tr w:rsidR="00A5167D" w:rsidRPr="00D146E8" w:rsidTr="00471759">
        <w:trPr>
          <w:cantSplit/>
          <w:trHeight w:val="527"/>
        </w:trPr>
        <w:tc>
          <w:tcPr>
            <w:tcW w:w="2109" w:type="dxa"/>
            <w:shd w:val="clear" w:color="auto" w:fill="FFFFFF"/>
            <w:vAlign w:val="bottom"/>
          </w:tcPr>
          <w:p w:rsidR="00A5167D" w:rsidRPr="00D146E8" w:rsidRDefault="00A5167D" w:rsidP="00471759"/>
        </w:tc>
        <w:tc>
          <w:tcPr>
            <w:tcW w:w="1079" w:type="dxa"/>
            <w:shd w:val="clear" w:color="auto" w:fill="auto"/>
            <w:vAlign w:val="bottom"/>
          </w:tcPr>
          <w:p w:rsidR="00A5167D" w:rsidRPr="00D146E8" w:rsidRDefault="00A5167D" w:rsidP="00471759">
            <w:pPr>
              <w:jc w:val="center"/>
            </w:pPr>
            <w:r w:rsidRPr="00D146E8">
              <w:t>N</w:t>
            </w:r>
          </w:p>
        </w:tc>
        <w:tc>
          <w:tcPr>
            <w:tcW w:w="1127" w:type="dxa"/>
            <w:shd w:val="clear" w:color="auto" w:fill="auto"/>
            <w:vAlign w:val="bottom"/>
          </w:tcPr>
          <w:p w:rsidR="00A5167D" w:rsidRPr="00D146E8" w:rsidRDefault="00A5167D" w:rsidP="00471759">
            <w:pPr>
              <w:jc w:val="center"/>
            </w:pPr>
            <w:r w:rsidRPr="00D146E8">
              <w:t>Minimum</w:t>
            </w:r>
          </w:p>
        </w:tc>
        <w:tc>
          <w:tcPr>
            <w:tcW w:w="1159" w:type="dxa"/>
            <w:shd w:val="clear" w:color="auto" w:fill="auto"/>
            <w:vAlign w:val="bottom"/>
          </w:tcPr>
          <w:p w:rsidR="00A5167D" w:rsidRPr="00D146E8" w:rsidRDefault="00A5167D" w:rsidP="00471759">
            <w:pPr>
              <w:jc w:val="center"/>
            </w:pPr>
            <w:r w:rsidRPr="00D146E8">
              <w:t>Maximum</w:t>
            </w:r>
          </w:p>
        </w:tc>
        <w:tc>
          <w:tcPr>
            <w:tcW w:w="1079" w:type="dxa"/>
            <w:shd w:val="clear" w:color="auto" w:fill="auto"/>
            <w:vAlign w:val="bottom"/>
          </w:tcPr>
          <w:p w:rsidR="00A5167D" w:rsidRPr="00D146E8" w:rsidRDefault="00A5167D" w:rsidP="00471759">
            <w:pPr>
              <w:jc w:val="center"/>
            </w:pPr>
            <w:r w:rsidRPr="00D146E8">
              <w:t>Mean</w:t>
            </w:r>
          </w:p>
        </w:tc>
        <w:tc>
          <w:tcPr>
            <w:tcW w:w="1519" w:type="dxa"/>
            <w:shd w:val="clear" w:color="auto" w:fill="auto"/>
            <w:vAlign w:val="bottom"/>
          </w:tcPr>
          <w:p w:rsidR="00A5167D" w:rsidRPr="00D146E8" w:rsidRDefault="00A5167D" w:rsidP="00471759">
            <w:pPr>
              <w:jc w:val="center"/>
            </w:pPr>
            <w:r w:rsidRPr="00D146E8">
              <w:t>Std. Deviation</w:t>
            </w:r>
          </w:p>
        </w:tc>
      </w:tr>
      <w:tr w:rsidR="00A5167D" w:rsidRPr="00D146E8" w:rsidTr="00471759">
        <w:trPr>
          <w:cantSplit/>
          <w:trHeight w:val="319"/>
        </w:trPr>
        <w:tc>
          <w:tcPr>
            <w:tcW w:w="2109" w:type="dxa"/>
            <w:shd w:val="clear" w:color="auto" w:fill="auto"/>
          </w:tcPr>
          <w:p w:rsidR="00A5167D" w:rsidRPr="00D146E8" w:rsidRDefault="00A5167D" w:rsidP="00471759">
            <w:pPr>
              <w:jc w:val="center"/>
            </w:pPr>
            <w:r w:rsidRPr="00D146E8">
              <w:t>Tingkat Utang</w:t>
            </w:r>
          </w:p>
        </w:tc>
        <w:tc>
          <w:tcPr>
            <w:tcW w:w="1079" w:type="dxa"/>
            <w:shd w:val="clear" w:color="auto" w:fill="FFFFFF"/>
          </w:tcPr>
          <w:p w:rsidR="00A5167D" w:rsidRPr="00D146E8" w:rsidRDefault="00A5167D" w:rsidP="00471759">
            <w:pPr>
              <w:jc w:val="right"/>
            </w:pPr>
            <w:r w:rsidRPr="00D146E8">
              <w:t>75</w:t>
            </w:r>
          </w:p>
        </w:tc>
        <w:tc>
          <w:tcPr>
            <w:tcW w:w="1127" w:type="dxa"/>
            <w:shd w:val="clear" w:color="auto" w:fill="FFFFFF"/>
          </w:tcPr>
          <w:p w:rsidR="00A5167D" w:rsidRPr="00D146E8" w:rsidRDefault="00A5167D" w:rsidP="00471759">
            <w:pPr>
              <w:jc w:val="right"/>
            </w:pPr>
            <w:r w:rsidRPr="00D146E8">
              <w:t>6.74</w:t>
            </w:r>
          </w:p>
        </w:tc>
        <w:tc>
          <w:tcPr>
            <w:tcW w:w="1159" w:type="dxa"/>
            <w:shd w:val="clear" w:color="auto" w:fill="FFFFFF"/>
          </w:tcPr>
          <w:p w:rsidR="00A5167D" w:rsidRPr="00D146E8" w:rsidRDefault="00A5167D" w:rsidP="00471759">
            <w:pPr>
              <w:jc w:val="right"/>
            </w:pPr>
            <w:r w:rsidRPr="00D146E8">
              <w:t>60.78</w:t>
            </w:r>
          </w:p>
        </w:tc>
        <w:tc>
          <w:tcPr>
            <w:tcW w:w="1079" w:type="dxa"/>
            <w:shd w:val="clear" w:color="auto" w:fill="FFFFFF"/>
          </w:tcPr>
          <w:p w:rsidR="00A5167D" w:rsidRPr="00D146E8" w:rsidRDefault="00A5167D" w:rsidP="00471759">
            <w:pPr>
              <w:jc w:val="right"/>
            </w:pPr>
            <w:r w:rsidRPr="00D146E8">
              <w:t>32.1546</w:t>
            </w:r>
          </w:p>
        </w:tc>
        <w:tc>
          <w:tcPr>
            <w:tcW w:w="1519" w:type="dxa"/>
            <w:shd w:val="clear" w:color="auto" w:fill="FFFFFF"/>
          </w:tcPr>
          <w:p w:rsidR="00A5167D" w:rsidRPr="00D146E8" w:rsidRDefault="00A5167D" w:rsidP="00471759">
            <w:pPr>
              <w:jc w:val="right"/>
            </w:pPr>
            <w:r w:rsidRPr="00D146E8">
              <w:t>14.02965</w:t>
            </w:r>
          </w:p>
        </w:tc>
      </w:tr>
      <w:tr w:rsidR="00A5167D" w:rsidRPr="00D146E8" w:rsidTr="00471759">
        <w:trPr>
          <w:cantSplit/>
          <w:trHeight w:val="319"/>
        </w:trPr>
        <w:tc>
          <w:tcPr>
            <w:tcW w:w="2109" w:type="dxa"/>
            <w:shd w:val="clear" w:color="auto" w:fill="auto"/>
          </w:tcPr>
          <w:p w:rsidR="00A5167D" w:rsidRPr="00D146E8" w:rsidRDefault="00A5167D" w:rsidP="00471759">
            <w:pPr>
              <w:jc w:val="center"/>
            </w:pPr>
            <w:r w:rsidRPr="00D146E8">
              <w:t>profitabilitas</w:t>
            </w:r>
          </w:p>
        </w:tc>
        <w:tc>
          <w:tcPr>
            <w:tcW w:w="1079" w:type="dxa"/>
            <w:shd w:val="clear" w:color="auto" w:fill="FFFFFF"/>
          </w:tcPr>
          <w:p w:rsidR="00A5167D" w:rsidRPr="00D146E8" w:rsidRDefault="00A5167D" w:rsidP="00471759">
            <w:pPr>
              <w:jc w:val="right"/>
            </w:pPr>
            <w:r w:rsidRPr="00D146E8">
              <w:t>75</w:t>
            </w:r>
          </w:p>
        </w:tc>
        <w:tc>
          <w:tcPr>
            <w:tcW w:w="1127" w:type="dxa"/>
            <w:shd w:val="clear" w:color="auto" w:fill="FFFFFF"/>
          </w:tcPr>
          <w:p w:rsidR="00A5167D" w:rsidRPr="00D146E8" w:rsidRDefault="00A5167D" w:rsidP="00471759">
            <w:pPr>
              <w:jc w:val="right"/>
            </w:pPr>
            <w:r w:rsidRPr="00D146E8">
              <w:t>.31</w:t>
            </w:r>
          </w:p>
        </w:tc>
        <w:tc>
          <w:tcPr>
            <w:tcW w:w="1159" w:type="dxa"/>
            <w:shd w:val="clear" w:color="auto" w:fill="FFFFFF"/>
          </w:tcPr>
          <w:p w:rsidR="00A5167D" w:rsidRPr="00D146E8" w:rsidRDefault="00A5167D" w:rsidP="00471759">
            <w:pPr>
              <w:jc w:val="right"/>
            </w:pPr>
            <w:r w:rsidRPr="00D146E8">
              <w:t>24.75</w:t>
            </w:r>
          </w:p>
        </w:tc>
        <w:tc>
          <w:tcPr>
            <w:tcW w:w="1079" w:type="dxa"/>
            <w:shd w:val="clear" w:color="auto" w:fill="FFFFFF"/>
          </w:tcPr>
          <w:p w:rsidR="00A5167D" w:rsidRPr="00D146E8" w:rsidRDefault="00A5167D" w:rsidP="00471759">
            <w:pPr>
              <w:jc w:val="right"/>
            </w:pPr>
            <w:r w:rsidRPr="00D146E8">
              <w:t>10.4594</w:t>
            </w:r>
          </w:p>
        </w:tc>
        <w:tc>
          <w:tcPr>
            <w:tcW w:w="1519" w:type="dxa"/>
            <w:shd w:val="clear" w:color="auto" w:fill="FFFFFF"/>
          </w:tcPr>
          <w:p w:rsidR="00A5167D" w:rsidRPr="00D146E8" w:rsidRDefault="00A5167D" w:rsidP="00471759">
            <w:pPr>
              <w:jc w:val="right"/>
            </w:pPr>
            <w:r w:rsidRPr="00D146E8">
              <w:t>5.30065</w:t>
            </w:r>
          </w:p>
        </w:tc>
      </w:tr>
      <w:tr w:rsidR="00A5167D" w:rsidRPr="00D146E8" w:rsidTr="00471759">
        <w:trPr>
          <w:cantSplit/>
          <w:trHeight w:val="536"/>
        </w:trPr>
        <w:tc>
          <w:tcPr>
            <w:tcW w:w="2109" w:type="dxa"/>
            <w:shd w:val="clear" w:color="auto" w:fill="auto"/>
          </w:tcPr>
          <w:p w:rsidR="00A5167D" w:rsidRPr="00D146E8" w:rsidRDefault="00A5167D" w:rsidP="00471759">
            <w:pPr>
              <w:jc w:val="center"/>
            </w:pPr>
            <w:r w:rsidRPr="00D146E8">
              <w:t>Ukuran Perusahaan</w:t>
            </w:r>
          </w:p>
        </w:tc>
        <w:tc>
          <w:tcPr>
            <w:tcW w:w="1079" w:type="dxa"/>
            <w:shd w:val="clear" w:color="auto" w:fill="FFFFFF"/>
          </w:tcPr>
          <w:p w:rsidR="00A5167D" w:rsidRPr="00D146E8" w:rsidRDefault="00A5167D" w:rsidP="00471759">
            <w:pPr>
              <w:jc w:val="right"/>
            </w:pPr>
            <w:r w:rsidRPr="00D146E8">
              <w:t>75</w:t>
            </w:r>
          </w:p>
        </w:tc>
        <w:tc>
          <w:tcPr>
            <w:tcW w:w="1127" w:type="dxa"/>
            <w:shd w:val="clear" w:color="auto" w:fill="FFFFFF"/>
          </w:tcPr>
          <w:p w:rsidR="00A5167D" w:rsidRPr="00D146E8" w:rsidRDefault="00A5167D" w:rsidP="00471759">
            <w:pPr>
              <w:jc w:val="right"/>
            </w:pPr>
            <w:r w:rsidRPr="00D146E8">
              <w:t>25.65</w:t>
            </w:r>
          </w:p>
        </w:tc>
        <w:tc>
          <w:tcPr>
            <w:tcW w:w="1159" w:type="dxa"/>
            <w:shd w:val="clear" w:color="auto" w:fill="FFFFFF"/>
          </w:tcPr>
          <w:p w:rsidR="00A5167D" w:rsidRPr="00D146E8" w:rsidRDefault="00A5167D" w:rsidP="00471759">
            <w:pPr>
              <w:jc w:val="right"/>
            </w:pPr>
            <w:r w:rsidRPr="00D146E8">
              <w:t>32.94</w:t>
            </w:r>
          </w:p>
        </w:tc>
        <w:tc>
          <w:tcPr>
            <w:tcW w:w="1079" w:type="dxa"/>
            <w:shd w:val="clear" w:color="auto" w:fill="FFFFFF"/>
          </w:tcPr>
          <w:p w:rsidR="00A5167D" w:rsidRPr="00D146E8" w:rsidRDefault="00A5167D" w:rsidP="00471759">
            <w:pPr>
              <w:jc w:val="right"/>
            </w:pPr>
            <w:r w:rsidRPr="00D146E8">
              <w:t>29.1907</w:t>
            </w:r>
          </w:p>
        </w:tc>
        <w:tc>
          <w:tcPr>
            <w:tcW w:w="1519" w:type="dxa"/>
            <w:shd w:val="clear" w:color="auto" w:fill="FFFFFF"/>
          </w:tcPr>
          <w:p w:rsidR="00A5167D" w:rsidRPr="00D146E8" w:rsidRDefault="00A5167D" w:rsidP="00471759">
            <w:pPr>
              <w:jc w:val="right"/>
            </w:pPr>
            <w:r w:rsidRPr="00D146E8">
              <w:t>1.62509</w:t>
            </w:r>
          </w:p>
        </w:tc>
      </w:tr>
      <w:tr w:rsidR="00A5167D" w:rsidRPr="00D146E8" w:rsidTr="00471759">
        <w:trPr>
          <w:cantSplit/>
          <w:trHeight w:val="527"/>
        </w:trPr>
        <w:tc>
          <w:tcPr>
            <w:tcW w:w="2109" w:type="dxa"/>
            <w:shd w:val="clear" w:color="auto" w:fill="auto"/>
          </w:tcPr>
          <w:p w:rsidR="00A5167D" w:rsidRPr="00D146E8" w:rsidRDefault="00A5167D" w:rsidP="00471759">
            <w:pPr>
              <w:jc w:val="center"/>
            </w:pPr>
            <w:r w:rsidRPr="00D146E8">
              <w:t>Penghindaran Pajak</w:t>
            </w:r>
          </w:p>
        </w:tc>
        <w:tc>
          <w:tcPr>
            <w:tcW w:w="1079" w:type="dxa"/>
            <w:shd w:val="clear" w:color="auto" w:fill="FFFFFF"/>
          </w:tcPr>
          <w:p w:rsidR="00A5167D" w:rsidRPr="00D146E8" w:rsidRDefault="00A5167D" w:rsidP="00471759">
            <w:pPr>
              <w:jc w:val="right"/>
            </w:pPr>
            <w:r w:rsidRPr="00D146E8">
              <w:t>75</w:t>
            </w:r>
          </w:p>
        </w:tc>
        <w:tc>
          <w:tcPr>
            <w:tcW w:w="1127" w:type="dxa"/>
            <w:shd w:val="clear" w:color="auto" w:fill="FFFFFF"/>
          </w:tcPr>
          <w:p w:rsidR="00A5167D" w:rsidRPr="00D146E8" w:rsidRDefault="00A5167D" w:rsidP="00471759">
            <w:pPr>
              <w:jc w:val="right"/>
            </w:pPr>
            <w:r w:rsidRPr="00D146E8">
              <w:t>18.44</w:t>
            </w:r>
          </w:p>
        </w:tc>
        <w:tc>
          <w:tcPr>
            <w:tcW w:w="1159" w:type="dxa"/>
            <w:shd w:val="clear" w:color="auto" w:fill="FFFFFF"/>
          </w:tcPr>
          <w:p w:rsidR="00A5167D" w:rsidRPr="00D146E8" w:rsidRDefault="00A5167D" w:rsidP="00471759">
            <w:pPr>
              <w:jc w:val="right"/>
            </w:pPr>
            <w:r w:rsidRPr="00D146E8">
              <w:t>26.03</w:t>
            </w:r>
          </w:p>
        </w:tc>
        <w:tc>
          <w:tcPr>
            <w:tcW w:w="1079" w:type="dxa"/>
            <w:shd w:val="clear" w:color="auto" w:fill="FFFFFF"/>
          </w:tcPr>
          <w:p w:rsidR="00A5167D" w:rsidRPr="00D146E8" w:rsidRDefault="00A5167D" w:rsidP="00471759">
            <w:pPr>
              <w:jc w:val="right"/>
            </w:pPr>
            <w:r w:rsidRPr="00D146E8">
              <w:t>22.3353</w:t>
            </w:r>
          </w:p>
        </w:tc>
        <w:tc>
          <w:tcPr>
            <w:tcW w:w="1519" w:type="dxa"/>
            <w:shd w:val="clear" w:color="auto" w:fill="FFFFFF"/>
          </w:tcPr>
          <w:p w:rsidR="00A5167D" w:rsidRPr="00D146E8" w:rsidRDefault="00A5167D" w:rsidP="00471759">
            <w:pPr>
              <w:jc w:val="right"/>
            </w:pPr>
            <w:r w:rsidRPr="00D146E8">
              <w:t>1.66255</w:t>
            </w:r>
          </w:p>
        </w:tc>
      </w:tr>
      <w:tr w:rsidR="00A5167D" w:rsidRPr="00D146E8" w:rsidTr="00471759">
        <w:trPr>
          <w:cantSplit/>
          <w:trHeight w:val="319"/>
        </w:trPr>
        <w:tc>
          <w:tcPr>
            <w:tcW w:w="2109" w:type="dxa"/>
            <w:shd w:val="clear" w:color="auto" w:fill="auto"/>
          </w:tcPr>
          <w:p w:rsidR="00A5167D" w:rsidRPr="00D146E8" w:rsidRDefault="00A5167D" w:rsidP="00471759">
            <w:pPr>
              <w:jc w:val="center"/>
            </w:pPr>
            <w:r w:rsidRPr="00D146E8">
              <w:t>Valid N (listwise)</w:t>
            </w:r>
          </w:p>
        </w:tc>
        <w:tc>
          <w:tcPr>
            <w:tcW w:w="1079" w:type="dxa"/>
            <w:shd w:val="clear" w:color="auto" w:fill="FFFFFF"/>
          </w:tcPr>
          <w:p w:rsidR="00A5167D" w:rsidRPr="00D146E8" w:rsidRDefault="00A5167D" w:rsidP="00471759">
            <w:pPr>
              <w:jc w:val="right"/>
            </w:pPr>
            <w:r w:rsidRPr="00D146E8">
              <w:t>75</w:t>
            </w:r>
          </w:p>
        </w:tc>
        <w:tc>
          <w:tcPr>
            <w:tcW w:w="1127" w:type="dxa"/>
            <w:shd w:val="clear" w:color="auto" w:fill="FFFFFF"/>
            <w:vAlign w:val="center"/>
          </w:tcPr>
          <w:p w:rsidR="00A5167D" w:rsidRPr="00D146E8" w:rsidRDefault="00A5167D" w:rsidP="00471759">
            <w:pPr>
              <w:jc w:val="right"/>
            </w:pPr>
          </w:p>
        </w:tc>
        <w:tc>
          <w:tcPr>
            <w:tcW w:w="1159" w:type="dxa"/>
            <w:shd w:val="clear" w:color="auto" w:fill="FFFFFF"/>
            <w:vAlign w:val="center"/>
          </w:tcPr>
          <w:p w:rsidR="00A5167D" w:rsidRPr="00D146E8" w:rsidRDefault="00A5167D" w:rsidP="00471759">
            <w:pPr>
              <w:jc w:val="right"/>
            </w:pPr>
          </w:p>
        </w:tc>
        <w:tc>
          <w:tcPr>
            <w:tcW w:w="1079" w:type="dxa"/>
            <w:shd w:val="clear" w:color="auto" w:fill="FFFFFF"/>
            <w:vAlign w:val="center"/>
          </w:tcPr>
          <w:p w:rsidR="00A5167D" w:rsidRPr="00D146E8" w:rsidRDefault="00A5167D" w:rsidP="00471759">
            <w:pPr>
              <w:jc w:val="right"/>
            </w:pPr>
          </w:p>
        </w:tc>
        <w:tc>
          <w:tcPr>
            <w:tcW w:w="1519" w:type="dxa"/>
            <w:shd w:val="clear" w:color="auto" w:fill="FFFFFF"/>
            <w:vAlign w:val="center"/>
          </w:tcPr>
          <w:p w:rsidR="00A5167D" w:rsidRPr="00D146E8" w:rsidRDefault="00A5167D" w:rsidP="00471759">
            <w:pPr>
              <w:jc w:val="right"/>
            </w:pPr>
          </w:p>
        </w:tc>
      </w:tr>
    </w:tbl>
    <w:p w:rsidR="00A5167D" w:rsidRDefault="00A5167D" w:rsidP="00A5167D">
      <w:pPr>
        <w:spacing w:line="360" w:lineRule="auto"/>
        <w:rPr>
          <w:rFonts w:ascii="Times New Roman" w:hAnsi="Times New Roman" w:cs="Times New Roman"/>
          <w:sz w:val="24"/>
          <w:szCs w:val="24"/>
        </w:rPr>
      </w:pPr>
      <w:r w:rsidRPr="0043326E">
        <w:rPr>
          <w:rFonts w:ascii="Times New Roman" w:hAnsi="Times New Roman" w:cs="Times New Roman"/>
          <w:sz w:val="24"/>
          <w:szCs w:val="24"/>
        </w:rPr>
        <w:t xml:space="preserve">Sumber: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Pr="00F9192C" w:rsidRDefault="00A5167D" w:rsidP="00A5167D">
      <w:pPr>
        <w:spacing w:line="480" w:lineRule="auto"/>
        <w:ind w:firstLine="720"/>
        <w:jc w:val="both"/>
        <w:rPr>
          <w:rFonts w:ascii="Times New Roman" w:hAnsi="Times New Roman" w:cs="Times New Roman"/>
          <w:sz w:val="24"/>
          <w:szCs w:val="24"/>
        </w:rPr>
      </w:pPr>
      <w:r w:rsidRPr="00F9192C">
        <w:rPr>
          <w:rFonts w:ascii="Times New Roman" w:hAnsi="Times New Roman" w:cs="Times New Roman"/>
          <w:sz w:val="24"/>
          <w:szCs w:val="24"/>
        </w:rPr>
        <w:t xml:space="preserve">Tabel statistik deskriptif tersebut ditampilkan ringkasan statistik dari empat variabel utama dalam penelitian, yaitu </w:t>
      </w:r>
      <w:r w:rsidRPr="00F9192C">
        <w:rPr>
          <w:rFonts w:ascii="Times New Roman" w:hAnsi="Times New Roman" w:cs="Times New Roman"/>
          <w:b/>
          <w:bCs/>
          <w:sz w:val="24"/>
          <w:szCs w:val="24"/>
        </w:rPr>
        <w:t>tingkat utang, profitabilitas, ukuran perusahaan</w:t>
      </w:r>
      <w:r w:rsidRPr="00F9192C">
        <w:rPr>
          <w:rFonts w:ascii="Times New Roman" w:hAnsi="Times New Roman" w:cs="Times New Roman"/>
          <w:sz w:val="24"/>
          <w:szCs w:val="24"/>
        </w:rPr>
        <w:t xml:space="preserve">, dan </w:t>
      </w:r>
      <w:r w:rsidRPr="00F9192C">
        <w:rPr>
          <w:rFonts w:ascii="Times New Roman" w:hAnsi="Times New Roman" w:cs="Times New Roman"/>
          <w:b/>
          <w:bCs/>
          <w:sz w:val="24"/>
          <w:szCs w:val="24"/>
        </w:rPr>
        <w:t>penghindaran pajak</w:t>
      </w:r>
      <w:r w:rsidRPr="00F9192C">
        <w:rPr>
          <w:rFonts w:ascii="Times New Roman" w:hAnsi="Times New Roman" w:cs="Times New Roman"/>
          <w:sz w:val="24"/>
          <w:szCs w:val="24"/>
        </w:rPr>
        <w:t xml:space="preserve">, yang masing-masing memiliki jumlah observasi sebanyak </w:t>
      </w:r>
      <w:r w:rsidRPr="00F9192C">
        <w:rPr>
          <w:rFonts w:ascii="Times New Roman" w:hAnsi="Times New Roman" w:cs="Times New Roman"/>
          <w:b/>
          <w:bCs/>
          <w:sz w:val="24"/>
          <w:szCs w:val="24"/>
        </w:rPr>
        <w:t>75 data (N = 75)</w:t>
      </w:r>
      <w:r w:rsidRPr="00F9192C">
        <w:rPr>
          <w:rFonts w:ascii="Times New Roman" w:hAnsi="Times New Roman" w:cs="Times New Roman"/>
          <w:sz w:val="24"/>
          <w:szCs w:val="24"/>
        </w:rPr>
        <w:t>. Informasi yang ditampilkan mencakup nilai minimum, maksimum, mean (rata-rata), dan standar deviasi dari masing-masing variabel.</w:t>
      </w:r>
    </w:p>
    <w:p w:rsidR="00A5167D" w:rsidRPr="00F9192C" w:rsidRDefault="00A5167D" w:rsidP="00A5167D">
      <w:pPr>
        <w:spacing w:line="480" w:lineRule="auto"/>
        <w:ind w:firstLine="720"/>
        <w:jc w:val="both"/>
        <w:rPr>
          <w:rFonts w:ascii="Times New Roman" w:hAnsi="Times New Roman" w:cs="Times New Roman"/>
          <w:sz w:val="24"/>
          <w:szCs w:val="24"/>
        </w:rPr>
      </w:pPr>
      <w:r w:rsidRPr="00F9192C">
        <w:rPr>
          <w:rFonts w:ascii="Times New Roman" w:hAnsi="Times New Roman" w:cs="Times New Roman"/>
          <w:sz w:val="24"/>
          <w:szCs w:val="24"/>
        </w:rPr>
        <w:lastRenderedPageBreak/>
        <w:t xml:space="preserve">Variabel </w:t>
      </w:r>
      <w:r w:rsidRPr="00F9192C">
        <w:rPr>
          <w:rFonts w:ascii="Times New Roman" w:hAnsi="Times New Roman" w:cs="Times New Roman"/>
          <w:b/>
          <w:bCs/>
          <w:sz w:val="24"/>
          <w:szCs w:val="24"/>
        </w:rPr>
        <w:t>tingkat utang</w:t>
      </w:r>
      <w:r w:rsidRPr="00F9192C">
        <w:rPr>
          <w:rFonts w:ascii="Times New Roman" w:hAnsi="Times New Roman" w:cs="Times New Roman"/>
          <w:sz w:val="24"/>
          <w:szCs w:val="24"/>
        </w:rPr>
        <w:t xml:space="preserve"> memiliki nilai minimum sebesar </w:t>
      </w:r>
      <w:r w:rsidRPr="00F9192C">
        <w:rPr>
          <w:rFonts w:ascii="Times New Roman" w:hAnsi="Times New Roman" w:cs="Times New Roman"/>
          <w:b/>
          <w:bCs/>
          <w:sz w:val="24"/>
          <w:szCs w:val="24"/>
        </w:rPr>
        <w:t>6</w:t>
      </w:r>
      <w:proofErr w:type="gramStart"/>
      <w:r w:rsidRPr="00F9192C">
        <w:rPr>
          <w:rFonts w:ascii="Times New Roman" w:hAnsi="Times New Roman" w:cs="Times New Roman"/>
          <w:b/>
          <w:bCs/>
          <w:sz w:val="24"/>
          <w:szCs w:val="24"/>
        </w:rPr>
        <w:t>,74</w:t>
      </w:r>
      <w:proofErr w:type="gramEnd"/>
      <w:r w:rsidRPr="00F9192C">
        <w:rPr>
          <w:rFonts w:ascii="Times New Roman" w:hAnsi="Times New Roman" w:cs="Times New Roman"/>
          <w:sz w:val="24"/>
          <w:szCs w:val="24"/>
        </w:rPr>
        <w:t xml:space="preserve">, nilai maksimum </w:t>
      </w:r>
      <w:r w:rsidRPr="00F9192C">
        <w:rPr>
          <w:rFonts w:ascii="Times New Roman" w:hAnsi="Times New Roman" w:cs="Times New Roman"/>
          <w:b/>
          <w:bCs/>
          <w:sz w:val="24"/>
          <w:szCs w:val="24"/>
        </w:rPr>
        <w:t>60,78</w:t>
      </w:r>
      <w:r w:rsidRPr="00F9192C">
        <w:rPr>
          <w:rFonts w:ascii="Times New Roman" w:hAnsi="Times New Roman" w:cs="Times New Roman"/>
          <w:sz w:val="24"/>
          <w:szCs w:val="24"/>
        </w:rPr>
        <w:t xml:space="preserve">, dan nilai rata-rata </w:t>
      </w:r>
      <w:r w:rsidRPr="00F9192C">
        <w:rPr>
          <w:rFonts w:ascii="Times New Roman" w:hAnsi="Times New Roman" w:cs="Times New Roman"/>
          <w:b/>
          <w:bCs/>
          <w:sz w:val="24"/>
          <w:szCs w:val="24"/>
        </w:rPr>
        <w:t>32,15</w:t>
      </w:r>
      <w:r w:rsidRPr="00F9192C">
        <w:rPr>
          <w:rFonts w:ascii="Times New Roman" w:hAnsi="Times New Roman" w:cs="Times New Roman"/>
          <w:sz w:val="24"/>
          <w:szCs w:val="24"/>
        </w:rPr>
        <w:t xml:space="preserve">, dengan standar deviasi sebesar </w:t>
      </w:r>
      <w:r w:rsidRPr="00F9192C">
        <w:rPr>
          <w:rFonts w:ascii="Times New Roman" w:hAnsi="Times New Roman" w:cs="Times New Roman"/>
          <w:b/>
          <w:bCs/>
          <w:sz w:val="24"/>
          <w:szCs w:val="24"/>
        </w:rPr>
        <w:t>14,03</w:t>
      </w:r>
      <w:r w:rsidRPr="00F9192C">
        <w:rPr>
          <w:rFonts w:ascii="Times New Roman" w:hAnsi="Times New Roman" w:cs="Times New Roman"/>
          <w:sz w:val="24"/>
          <w:szCs w:val="24"/>
        </w:rPr>
        <w:t xml:space="preserve">. </w:t>
      </w:r>
      <w:proofErr w:type="gramStart"/>
      <w:r w:rsidRPr="00F9192C">
        <w:rPr>
          <w:rFonts w:ascii="Times New Roman" w:hAnsi="Times New Roman" w:cs="Times New Roman"/>
          <w:sz w:val="24"/>
          <w:szCs w:val="24"/>
        </w:rPr>
        <w:t>Hal ini menunjukkan bahwa rata-rata perusahaan dalam sampel memiliki struktur pendanaan yang terdiri dari sekitar 32% utang terhadap total asetnya.</w:t>
      </w:r>
      <w:proofErr w:type="gramEnd"/>
      <w:r w:rsidRPr="00F9192C">
        <w:rPr>
          <w:rFonts w:ascii="Times New Roman" w:hAnsi="Times New Roman" w:cs="Times New Roman"/>
          <w:sz w:val="24"/>
          <w:szCs w:val="24"/>
        </w:rPr>
        <w:t xml:space="preserve"> </w:t>
      </w:r>
      <w:proofErr w:type="gramStart"/>
      <w:r w:rsidRPr="00F9192C">
        <w:rPr>
          <w:rFonts w:ascii="Times New Roman" w:hAnsi="Times New Roman" w:cs="Times New Roman"/>
          <w:sz w:val="24"/>
          <w:szCs w:val="24"/>
        </w:rPr>
        <w:t xml:space="preserve">Besarnya standar deviasi mengindikasikan adanya </w:t>
      </w:r>
      <w:r w:rsidRPr="00F9192C">
        <w:rPr>
          <w:rFonts w:ascii="Times New Roman" w:hAnsi="Times New Roman" w:cs="Times New Roman"/>
          <w:b/>
          <w:bCs/>
          <w:sz w:val="24"/>
          <w:szCs w:val="24"/>
        </w:rPr>
        <w:t>dispersi atau penyebaran data yang cukup tinggi</w:t>
      </w:r>
      <w:r w:rsidRPr="00F9192C">
        <w:rPr>
          <w:rFonts w:ascii="Times New Roman" w:hAnsi="Times New Roman" w:cs="Times New Roman"/>
          <w:sz w:val="24"/>
          <w:szCs w:val="24"/>
        </w:rPr>
        <w:t>, yang berarti terdapat perusahaan dengan tingkat utang yang sangat rendah maupun sangat tinggi dalam sampel.</w:t>
      </w:r>
      <w:proofErr w:type="gramEnd"/>
    </w:p>
    <w:p w:rsidR="00A5167D" w:rsidRPr="00F9192C" w:rsidRDefault="00A5167D" w:rsidP="00A5167D">
      <w:pPr>
        <w:spacing w:line="480" w:lineRule="auto"/>
        <w:ind w:firstLine="720"/>
        <w:jc w:val="both"/>
        <w:rPr>
          <w:rFonts w:ascii="Times New Roman" w:hAnsi="Times New Roman" w:cs="Times New Roman"/>
          <w:sz w:val="24"/>
          <w:szCs w:val="24"/>
        </w:rPr>
      </w:pPr>
      <w:r w:rsidRPr="00F9192C">
        <w:rPr>
          <w:rFonts w:ascii="Times New Roman" w:hAnsi="Times New Roman" w:cs="Times New Roman"/>
          <w:sz w:val="24"/>
          <w:szCs w:val="24"/>
        </w:rPr>
        <w:t xml:space="preserve">Variabel </w:t>
      </w:r>
      <w:r w:rsidRPr="00F9192C">
        <w:rPr>
          <w:rFonts w:ascii="Times New Roman" w:hAnsi="Times New Roman" w:cs="Times New Roman"/>
          <w:b/>
          <w:bCs/>
          <w:sz w:val="24"/>
          <w:szCs w:val="24"/>
        </w:rPr>
        <w:t>profitabilitas</w:t>
      </w:r>
      <w:r w:rsidRPr="00F9192C">
        <w:rPr>
          <w:rFonts w:ascii="Times New Roman" w:hAnsi="Times New Roman" w:cs="Times New Roman"/>
          <w:sz w:val="24"/>
          <w:szCs w:val="24"/>
        </w:rPr>
        <w:t xml:space="preserve"> yang diukur dengan Return on Assets (ROA) memiliki nilai minimum </w:t>
      </w:r>
      <w:r w:rsidRPr="00F9192C">
        <w:rPr>
          <w:rFonts w:ascii="Times New Roman" w:hAnsi="Times New Roman" w:cs="Times New Roman"/>
          <w:b/>
          <w:bCs/>
          <w:sz w:val="24"/>
          <w:szCs w:val="24"/>
        </w:rPr>
        <w:t>0,31</w:t>
      </w:r>
      <w:r w:rsidRPr="00F9192C">
        <w:rPr>
          <w:rFonts w:ascii="Times New Roman" w:hAnsi="Times New Roman" w:cs="Times New Roman"/>
          <w:sz w:val="24"/>
          <w:szCs w:val="24"/>
        </w:rPr>
        <w:t xml:space="preserve"> dan maksimum </w:t>
      </w:r>
      <w:r w:rsidRPr="00F9192C">
        <w:rPr>
          <w:rFonts w:ascii="Times New Roman" w:hAnsi="Times New Roman" w:cs="Times New Roman"/>
          <w:b/>
          <w:bCs/>
          <w:sz w:val="24"/>
          <w:szCs w:val="24"/>
        </w:rPr>
        <w:t>24,75</w:t>
      </w:r>
      <w:r w:rsidRPr="00F9192C">
        <w:rPr>
          <w:rFonts w:ascii="Times New Roman" w:hAnsi="Times New Roman" w:cs="Times New Roman"/>
          <w:sz w:val="24"/>
          <w:szCs w:val="24"/>
        </w:rPr>
        <w:t xml:space="preserve">, dengan rata-rata </w:t>
      </w:r>
      <w:r w:rsidRPr="00F9192C">
        <w:rPr>
          <w:rFonts w:ascii="Times New Roman" w:hAnsi="Times New Roman" w:cs="Times New Roman"/>
          <w:b/>
          <w:bCs/>
          <w:sz w:val="24"/>
          <w:szCs w:val="24"/>
        </w:rPr>
        <w:t>10,46</w:t>
      </w:r>
      <w:r w:rsidRPr="00F9192C">
        <w:rPr>
          <w:rFonts w:ascii="Times New Roman" w:hAnsi="Times New Roman" w:cs="Times New Roman"/>
          <w:sz w:val="24"/>
          <w:szCs w:val="24"/>
        </w:rPr>
        <w:t xml:space="preserve"> dan standar deviasi sebesar </w:t>
      </w:r>
      <w:r w:rsidRPr="00F9192C">
        <w:rPr>
          <w:rFonts w:ascii="Times New Roman" w:hAnsi="Times New Roman" w:cs="Times New Roman"/>
          <w:b/>
          <w:bCs/>
          <w:sz w:val="24"/>
          <w:szCs w:val="24"/>
        </w:rPr>
        <w:t>5,30</w:t>
      </w:r>
      <w:r w:rsidRPr="00F9192C">
        <w:rPr>
          <w:rFonts w:ascii="Times New Roman" w:hAnsi="Times New Roman" w:cs="Times New Roman"/>
          <w:sz w:val="24"/>
          <w:szCs w:val="24"/>
        </w:rPr>
        <w:t xml:space="preserve">. </w:t>
      </w:r>
      <w:proofErr w:type="gramStart"/>
      <w:r w:rsidRPr="00F9192C">
        <w:rPr>
          <w:rFonts w:ascii="Times New Roman" w:hAnsi="Times New Roman" w:cs="Times New Roman"/>
          <w:sz w:val="24"/>
          <w:szCs w:val="24"/>
        </w:rPr>
        <w:t>Ini mengindikasikan bahwa sebagian besar perusahaan dalam sampel memiliki kinerja keuangan yang cukup baik dengan rata-rata laba sebesar 10% terhadap total asetnya.</w:t>
      </w:r>
      <w:proofErr w:type="gramEnd"/>
      <w:r w:rsidRPr="00F9192C">
        <w:rPr>
          <w:rFonts w:ascii="Times New Roman" w:hAnsi="Times New Roman" w:cs="Times New Roman"/>
          <w:sz w:val="24"/>
          <w:szCs w:val="24"/>
        </w:rPr>
        <w:t xml:space="preserve"> </w:t>
      </w:r>
      <w:proofErr w:type="gramStart"/>
      <w:r w:rsidRPr="00F9192C">
        <w:rPr>
          <w:rFonts w:ascii="Times New Roman" w:hAnsi="Times New Roman" w:cs="Times New Roman"/>
          <w:sz w:val="24"/>
          <w:szCs w:val="24"/>
        </w:rPr>
        <w:t>Namun, standar deviasi yang cukup besar menunjukkan bahwa terdapat variasi yang cukup besar dalam kemampuan menghasilkan laba antar perusahaan.</w:t>
      </w:r>
      <w:proofErr w:type="gramEnd"/>
    </w:p>
    <w:p w:rsidR="00A5167D" w:rsidRDefault="00A5167D" w:rsidP="00A5167D">
      <w:pPr>
        <w:spacing w:line="480" w:lineRule="auto"/>
        <w:ind w:firstLine="720"/>
        <w:jc w:val="both"/>
        <w:rPr>
          <w:rFonts w:ascii="Times New Roman" w:hAnsi="Times New Roman" w:cs="Times New Roman"/>
          <w:sz w:val="24"/>
          <w:szCs w:val="24"/>
        </w:rPr>
      </w:pPr>
      <w:r w:rsidRPr="00F9192C">
        <w:rPr>
          <w:rFonts w:ascii="Times New Roman" w:hAnsi="Times New Roman" w:cs="Times New Roman"/>
          <w:sz w:val="24"/>
          <w:szCs w:val="24"/>
        </w:rPr>
        <w:t xml:space="preserve">Variabel </w:t>
      </w:r>
      <w:r w:rsidRPr="00F9192C">
        <w:rPr>
          <w:rFonts w:ascii="Times New Roman" w:hAnsi="Times New Roman" w:cs="Times New Roman"/>
          <w:b/>
          <w:bCs/>
          <w:sz w:val="24"/>
          <w:szCs w:val="24"/>
        </w:rPr>
        <w:t>ukuran perusahaan</w:t>
      </w:r>
      <w:r w:rsidRPr="00F9192C">
        <w:rPr>
          <w:rFonts w:ascii="Times New Roman" w:hAnsi="Times New Roman" w:cs="Times New Roman"/>
          <w:sz w:val="24"/>
          <w:szCs w:val="24"/>
        </w:rPr>
        <w:t xml:space="preserve">, yang diukur dengan logaritma natural dari total aset, memiliki rata-rata sebesar </w:t>
      </w:r>
      <w:r w:rsidRPr="00F9192C">
        <w:rPr>
          <w:rFonts w:ascii="Times New Roman" w:hAnsi="Times New Roman" w:cs="Times New Roman"/>
          <w:b/>
          <w:bCs/>
          <w:sz w:val="24"/>
          <w:szCs w:val="24"/>
        </w:rPr>
        <w:t>29,19</w:t>
      </w:r>
      <w:r w:rsidRPr="00F9192C">
        <w:rPr>
          <w:rFonts w:ascii="Times New Roman" w:hAnsi="Times New Roman" w:cs="Times New Roman"/>
          <w:sz w:val="24"/>
          <w:szCs w:val="24"/>
        </w:rPr>
        <w:t xml:space="preserve">, dengan nilai minimum </w:t>
      </w:r>
      <w:r w:rsidRPr="00F9192C">
        <w:rPr>
          <w:rFonts w:ascii="Times New Roman" w:hAnsi="Times New Roman" w:cs="Times New Roman"/>
          <w:b/>
          <w:bCs/>
          <w:sz w:val="24"/>
          <w:szCs w:val="24"/>
        </w:rPr>
        <w:t>25,65</w:t>
      </w:r>
      <w:r w:rsidRPr="00F9192C">
        <w:rPr>
          <w:rFonts w:ascii="Times New Roman" w:hAnsi="Times New Roman" w:cs="Times New Roman"/>
          <w:sz w:val="24"/>
          <w:szCs w:val="24"/>
        </w:rPr>
        <w:t xml:space="preserve"> dan maksimum </w:t>
      </w:r>
      <w:r w:rsidRPr="00F9192C">
        <w:rPr>
          <w:rFonts w:ascii="Times New Roman" w:hAnsi="Times New Roman" w:cs="Times New Roman"/>
          <w:b/>
          <w:bCs/>
          <w:sz w:val="24"/>
          <w:szCs w:val="24"/>
        </w:rPr>
        <w:t>32,94</w:t>
      </w:r>
      <w:r w:rsidRPr="00F9192C">
        <w:rPr>
          <w:rFonts w:ascii="Times New Roman" w:hAnsi="Times New Roman" w:cs="Times New Roman"/>
          <w:sz w:val="24"/>
          <w:szCs w:val="24"/>
        </w:rPr>
        <w:t xml:space="preserve">. Standar deviasi sebesar </w:t>
      </w:r>
      <w:r w:rsidRPr="00F9192C">
        <w:rPr>
          <w:rFonts w:ascii="Times New Roman" w:hAnsi="Times New Roman" w:cs="Times New Roman"/>
          <w:b/>
          <w:bCs/>
          <w:sz w:val="24"/>
          <w:szCs w:val="24"/>
        </w:rPr>
        <w:t>1</w:t>
      </w:r>
      <w:proofErr w:type="gramStart"/>
      <w:r w:rsidRPr="00F9192C">
        <w:rPr>
          <w:rFonts w:ascii="Times New Roman" w:hAnsi="Times New Roman" w:cs="Times New Roman"/>
          <w:b/>
          <w:bCs/>
          <w:sz w:val="24"/>
          <w:szCs w:val="24"/>
        </w:rPr>
        <w:t>,63</w:t>
      </w:r>
      <w:proofErr w:type="gramEnd"/>
      <w:r w:rsidRPr="00F9192C">
        <w:rPr>
          <w:rFonts w:ascii="Times New Roman" w:hAnsi="Times New Roman" w:cs="Times New Roman"/>
          <w:sz w:val="24"/>
          <w:szCs w:val="24"/>
        </w:rPr>
        <w:t xml:space="preserve"> menunjukkan bahwa ukuran perusahaan relatif homogen, meskipun terdapat beberapa perusahaan yang sangat besar atau kecil dalam sampel. Sementara itu, variabel </w:t>
      </w:r>
      <w:r w:rsidRPr="00F9192C">
        <w:rPr>
          <w:rFonts w:ascii="Times New Roman" w:hAnsi="Times New Roman" w:cs="Times New Roman"/>
          <w:b/>
          <w:bCs/>
          <w:sz w:val="24"/>
          <w:szCs w:val="24"/>
        </w:rPr>
        <w:t>penghindaran pajak</w:t>
      </w:r>
      <w:r w:rsidRPr="00F9192C">
        <w:rPr>
          <w:rFonts w:ascii="Times New Roman" w:hAnsi="Times New Roman" w:cs="Times New Roman"/>
          <w:sz w:val="24"/>
          <w:szCs w:val="24"/>
        </w:rPr>
        <w:t xml:space="preserve">, yang diukur melalui pendekatan Effective Tax Rate (ETR), memiliki rata-rata </w:t>
      </w:r>
      <w:r w:rsidRPr="00F9192C">
        <w:rPr>
          <w:rFonts w:ascii="Times New Roman" w:hAnsi="Times New Roman" w:cs="Times New Roman"/>
          <w:b/>
          <w:bCs/>
          <w:sz w:val="24"/>
          <w:szCs w:val="24"/>
        </w:rPr>
        <w:t>22,34</w:t>
      </w:r>
      <w:r w:rsidRPr="00F9192C">
        <w:rPr>
          <w:rFonts w:ascii="Times New Roman" w:hAnsi="Times New Roman" w:cs="Times New Roman"/>
          <w:sz w:val="24"/>
          <w:szCs w:val="24"/>
        </w:rPr>
        <w:t xml:space="preserve">, dengan nilai minimum </w:t>
      </w:r>
      <w:r w:rsidRPr="00F9192C">
        <w:rPr>
          <w:rFonts w:ascii="Times New Roman" w:hAnsi="Times New Roman" w:cs="Times New Roman"/>
          <w:b/>
          <w:bCs/>
          <w:sz w:val="24"/>
          <w:szCs w:val="24"/>
        </w:rPr>
        <w:t>18,44</w:t>
      </w:r>
      <w:r w:rsidRPr="00F9192C">
        <w:rPr>
          <w:rFonts w:ascii="Times New Roman" w:hAnsi="Times New Roman" w:cs="Times New Roman"/>
          <w:sz w:val="24"/>
          <w:szCs w:val="24"/>
        </w:rPr>
        <w:t xml:space="preserve"> dan maksimum </w:t>
      </w:r>
      <w:r w:rsidRPr="00F9192C">
        <w:rPr>
          <w:rFonts w:ascii="Times New Roman" w:hAnsi="Times New Roman" w:cs="Times New Roman"/>
          <w:b/>
          <w:bCs/>
          <w:sz w:val="24"/>
          <w:szCs w:val="24"/>
        </w:rPr>
        <w:t>26,03</w:t>
      </w:r>
      <w:r w:rsidRPr="00F9192C">
        <w:rPr>
          <w:rFonts w:ascii="Times New Roman" w:hAnsi="Times New Roman" w:cs="Times New Roman"/>
          <w:sz w:val="24"/>
          <w:szCs w:val="24"/>
        </w:rPr>
        <w:t xml:space="preserve">, serta standar deviasi </w:t>
      </w:r>
      <w:r w:rsidRPr="00F9192C">
        <w:rPr>
          <w:rFonts w:ascii="Times New Roman" w:hAnsi="Times New Roman" w:cs="Times New Roman"/>
          <w:b/>
          <w:bCs/>
          <w:sz w:val="24"/>
          <w:szCs w:val="24"/>
        </w:rPr>
        <w:t>1,66</w:t>
      </w:r>
      <w:r w:rsidRPr="00F9192C">
        <w:rPr>
          <w:rFonts w:ascii="Times New Roman" w:hAnsi="Times New Roman" w:cs="Times New Roman"/>
          <w:sz w:val="24"/>
          <w:szCs w:val="24"/>
        </w:rPr>
        <w:t xml:space="preserve">. </w:t>
      </w:r>
      <w:proofErr w:type="gramStart"/>
      <w:r w:rsidRPr="00F9192C">
        <w:rPr>
          <w:rFonts w:ascii="Times New Roman" w:hAnsi="Times New Roman" w:cs="Times New Roman"/>
          <w:sz w:val="24"/>
          <w:szCs w:val="24"/>
        </w:rPr>
        <w:t>Artinya, mayoritas perusahaan membayar pajak efektif sekitar 22%, namun dengan fluktuasi yang tidak terlalu besar, mencerminkan bahwa praktik penghindaran pajak dalam sampel berada pada tingkat yang cukup konsisten.</w:t>
      </w:r>
      <w:proofErr w:type="gramEnd"/>
    </w:p>
    <w:p w:rsidR="00A5167D" w:rsidRDefault="00A5167D" w:rsidP="00A5167D">
      <w:pPr>
        <w:pStyle w:val="Heading3"/>
        <w:spacing w:line="480" w:lineRule="auto"/>
      </w:pPr>
      <w:bookmarkStart w:id="17" w:name="_Toc202786238"/>
      <w:r>
        <w:lastRenderedPageBreak/>
        <w:t>4.2.2 Uji Asumsi Klasik</w:t>
      </w:r>
      <w:bookmarkEnd w:id="17"/>
    </w:p>
    <w:p w:rsidR="00A5167D" w:rsidRPr="00811BE2" w:rsidRDefault="00A5167D" w:rsidP="00A5167D">
      <w:pPr>
        <w:pStyle w:val="Heading4"/>
      </w:pPr>
      <w:r>
        <w:t>4.2.2.1 Uji Normalitas</w:t>
      </w:r>
    </w:p>
    <w:p w:rsidR="00A5167D" w:rsidRPr="00A5167D" w:rsidRDefault="00A5167D" w:rsidP="00A5167D">
      <w:pPr>
        <w:spacing w:line="480" w:lineRule="auto"/>
        <w:ind w:firstLine="720"/>
        <w:jc w:val="both"/>
        <w:rPr>
          <w:rFonts w:ascii="Times New Roman" w:hAnsi="Times New Roman" w:cs="Times New Roman"/>
          <w:sz w:val="24"/>
          <w:szCs w:val="24"/>
          <w:lang w:val="id-ID"/>
        </w:rPr>
      </w:pPr>
      <w:r w:rsidRPr="005C346E">
        <w:rPr>
          <w:rFonts w:ascii="Times New Roman" w:hAnsi="Times New Roman" w:cs="Times New Roman"/>
          <w:sz w:val="24"/>
          <w:szCs w:val="24"/>
        </w:rPr>
        <w:t xml:space="preserve">Pengujian asumsi klasik diawali dengan evaluasi terhadap distribusi normalitas, yang bertujuan untuk memastikan bahwa model regresi serta error term (residual) memiliki pola penyebaran yang mengikuti distribusi normal. </w:t>
      </w:r>
      <w:proofErr w:type="gramStart"/>
      <w:r w:rsidRPr="005C346E">
        <w:rPr>
          <w:rFonts w:ascii="Times New Roman" w:hAnsi="Times New Roman" w:cs="Times New Roman"/>
          <w:sz w:val="24"/>
          <w:szCs w:val="24"/>
        </w:rPr>
        <w:t xml:space="preserve">Dalam penelitian ini, pendekatan yang digunakan mencakup </w:t>
      </w:r>
      <w:r w:rsidRPr="0031103E">
        <w:rPr>
          <w:rFonts w:ascii="Times New Roman" w:hAnsi="Times New Roman" w:cs="Times New Roman"/>
          <w:sz w:val="24"/>
          <w:szCs w:val="24"/>
        </w:rPr>
        <w:t>uji statistik nonparametrik Kolmogorov-Smirnov serta analisis grafis melalui Normal P-P Plot</w:t>
      </w:r>
      <w:r w:rsidRPr="005C346E">
        <w:rPr>
          <w:rFonts w:ascii="Times New Roman" w:hAnsi="Times New Roman" w:cs="Times New Roman"/>
          <w:sz w:val="24"/>
          <w:szCs w:val="24"/>
        </w:rPr>
        <w:t>.</w:t>
      </w:r>
      <w:proofErr w:type="gramEnd"/>
      <w:r w:rsidRPr="005C346E">
        <w:rPr>
          <w:rFonts w:ascii="Times New Roman" w:hAnsi="Times New Roman" w:cs="Times New Roman"/>
          <w:sz w:val="24"/>
          <w:szCs w:val="24"/>
        </w:rPr>
        <w:t xml:space="preserve"> </w:t>
      </w:r>
      <w:proofErr w:type="gramStart"/>
      <w:r w:rsidRPr="005C346E">
        <w:rPr>
          <w:rFonts w:ascii="Times New Roman" w:hAnsi="Times New Roman" w:cs="Times New Roman"/>
          <w:sz w:val="24"/>
          <w:szCs w:val="24"/>
        </w:rPr>
        <w:t>Penentuan apakah data berdistribusi normal atau tidak dilakukan dengan memperhatikan nilai signifikansi hasil uji serta pola sebaran titik pada grafik.</w:t>
      </w:r>
      <w:proofErr w:type="gramEnd"/>
      <w:r w:rsidRPr="005C346E">
        <w:rPr>
          <w:rFonts w:ascii="Times New Roman" w:hAnsi="Times New Roman" w:cs="Times New Roman"/>
          <w:sz w:val="24"/>
          <w:szCs w:val="24"/>
        </w:rPr>
        <w:t xml:space="preserve"> Suatu data dikatakan berdistribusi normal apabila nilai signifikansinya berada di atas 0</w:t>
      </w:r>
      <w:proofErr w:type="gramStart"/>
      <w:r w:rsidRPr="005C346E">
        <w:rPr>
          <w:rFonts w:ascii="Times New Roman" w:hAnsi="Times New Roman" w:cs="Times New Roman"/>
          <w:sz w:val="24"/>
          <w:szCs w:val="24"/>
        </w:rPr>
        <w:t>,05</w:t>
      </w:r>
      <w:proofErr w:type="gramEnd"/>
      <w:r w:rsidRPr="005C346E">
        <w:rPr>
          <w:rFonts w:ascii="Times New Roman" w:hAnsi="Times New Roman" w:cs="Times New Roman"/>
          <w:sz w:val="24"/>
          <w:szCs w:val="24"/>
        </w:rPr>
        <w:t>, dan sebaran titik-titik pada grafik mendekati garis diagonal. Hasil pengujian normalitas melalui metode grafik Normal Probability Plot (P-P Plot) dalam penelitian ini menunjukkan bahwa:</w:t>
      </w:r>
      <w:r>
        <w:rPr>
          <w:rFonts w:ascii="Times New Roman" w:hAnsi="Times New Roman" w:cs="Times New Roman"/>
          <w:sz w:val="24"/>
          <w:szCs w:val="24"/>
        </w:rPr>
        <w:t xml:space="preserve"> </w:t>
      </w:r>
    </w:p>
    <w:p w:rsidR="00A5167D" w:rsidRDefault="00A5167D" w:rsidP="00A5167D">
      <w:pPr>
        <w:pStyle w:val="Caption"/>
        <w:jc w:val="center"/>
        <w:rPr>
          <w:rFonts w:ascii="Times New Roman" w:hAnsi="Times New Roman" w:cs="Times New Roman"/>
          <w:b/>
          <w:bCs/>
          <w:i w:val="0"/>
          <w:iCs w:val="0"/>
          <w:color w:val="auto"/>
          <w:sz w:val="24"/>
          <w:szCs w:val="24"/>
        </w:rPr>
      </w:pPr>
      <w:bookmarkStart w:id="18" w:name="_Toc202722344"/>
      <w:proofErr w:type="gramStart"/>
      <w:r w:rsidRPr="0079022F">
        <w:rPr>
          <w:rFonts w:ascii="Times New Roman" w:hAnsi="Times New Roman" w:cs="Times New Roman"/>
          <w:b/>
          <w:bCs/>
          <w:i w:val="0"/>
          <w:iCs w:val="0"/>
          <w:color w:val="auto"/>
          <w:sz w:val="24"/>
          <w:szCs w:val="24"/>
        </w:rPr>
        <w:t>Gambar 4.</w:t>
      </w:r>
      <w:proofErr w:type="gramEnd"/>
      <w:r w:rsidRPr="0079022F">
        <w:rPr>
          <w:rFonts w:ascii="Times New Roman" w:hAnsi="Times New Roman" w:cs="Times New Roman"/>
          <w:b/>
          <w:bCs/>
          <w:i w:val="0"/>
          <w:iCs w:val="0"/>
          <w:color w:val="auto"/>
          <w:sz w:val="24"/>
          <w:szCs w:val="24"/>
        </w:rPr>
        <w:t xml:space="preserve"> </w:t>
      </w:r>
      <w:r w:rsidRPr="0079022F">
        <w:rPr>
          <w:rFonts w:ascii="Times New Roman" w:hAnsi="Times New Roman" w:cs="Times New Roman"/>
          <w:b/>
          <w:bCs/>
          <w:i w:val="0"/>
          <w:iCs w:val="0"/>
          <w:color w:val="auto"/>
          <w:sz w:val="24"/>
          <w:szCs w:val="24"/>
        </w:rPr>
        <w:fldChar w:fldCharType="begin"/>
      </w:r>
      <w:r w:rsidRPr="0079022F">
        <w:rPr>
          <w:rFonts w:ascii="Times New Roman" w:hAnsi="Times New Roman" w:cs="Times New Roman"/>
          <w:b/>
          <w:bCs/>
          <w:i w:val="0"/>
          <w:iCs w:val="0"/>
          <w:color w:val="auto"/>
          <w:sz w:val="24"/>
          <w:szCs w:val="24"/>
        </w:rPr>
        <w:instrText xml:space="preserve"> SEQ Gambar_4. \* ARABIC </w:instrText>
      </w:r>
      <w:r w:rsidRPr="0079022F">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79022F">
        <w:rPr>
          <w:rFonts w:ascii="Times New Roman" w:hAnsi="Times New Roman" w:cs="Times New Roman"/>
          <w:b/>
          <w:bCs/>
          <w:i w:val="0"/>
          <w:iCs w:val="0"/>
          <w:color w:val="auto"/>
          <w:sz w:val="24"/>
          <w:szCs w:val="24"/>
        </w:rPr>
        <w:fldChar w:fldCharType="end"/>
      </w:r>
      <w:r w:rsidRPr="0079022F">
        <w:rPr>
          <w:rFonts w:ascii="Times New Roman" w:hAnsi="Times New Roman" w:cs="Times New Roman"/>
          <w:b/>
          <w:bCs/>
          <w:i w:val="0"/>
          <w:iCs w:val="0"/>
          <w:color w:val="auto"/>
          <w:sz w:val="24"/>
          <w:szCs w:val="24"/>
        </w:rPr>
        <w:t xml:space="preserve"> </w:t>
      </w:r>
    </w:p>
    <w:p w:rsidR="00A5167D" w:rsidRPr="0079022F" w:rsidRDefault="00A5167D" w:rsidP="00A5167D">
      <w:pPr>
        <w:pStyle w:val="Caption"/>
        <w:jc w:val="center"/>
        <w:rPr>
          <w:rFonts w:ascii="Times New Roman" w:hAnsi="Times New Roman" w:cs="Times New Roman"/>
          <w:b/>
          <w:bCs/>
          <w:i w:val="0"/>
          <w:iCs w:val="0"/>
          <w:color w:val="auto"/>
          <w:sz w:val="24"/>
          <w:szCs w:val="24"/>
        </w:rPr>
      </w:pPr>
      <w:r w:rsidRPr="0079022F">
        <w:rPr>
          <w:rFonts w:ascii="Times New Roman" w:hAnsi="Times New Roman" w:cs="Times New Roman"/>
          <w:b/>
          <w:bCs/>
          <w:i w:val="0"/>
          <w:iCs w:val="0"/>
          <w:color w:val="auto"/>
          <w:sz w:val="24"/>
          <w:szCs w:val="24"/>
        </w:rPr>
        <w:t>Grafik Normal Probability Plot</w:t>
      </w:r>
      <w:bookmarkEnd w:id="18"/>
    </w:p>
    <w:p w:rsidR="00A5167D" w:rsidRDefault="00A5167D" w:rsidP="00A5167D">
      <w:pPr>
        <w:spacing w:line="480" w:lineRule="auto"/>
        <w:ind w:firstLine="720"/>
        <w:jc w:val="center"/>
        <w:rPr>
          <w:rFonts w:ascii="Times New Roman" w:hAnsi="Times New Roman" w:cs="Times New Roman"/>
          <w:i/>
          <w:iCs/>
          <w:sz w:val="24"/>
          <w:szCs w:val="24"/>
        </w:rPr>
      </w:pPr>
      <w:r>
        <w:rPr>
          <w:rFonts w:ascii="Times New Roman" w:hAnsi="Times New Roman" w:cs="Times New Roman"/>
          <w:noProof/>
          <w:sz w:val="24"/>
          <w:szCs w:val="24"/>
          <w:lang w:val="id-ID" w:eastAsia="id-ID" w:bidi="ar-SA"/>
        </w:rPr>
        <w:drawing>
          <wp:inline distT="0" distB="0" distL="0" distR="0" wp14:anchorId="0FD1BC7B" wp14:editId="7C388310">
            <wp:extent cx="3727538" cy="2838146"/>
            <wp:effectExtent l="0" t="0" r="635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6">
                      <a:extLst>
                        <a:ext uri="{28A0092B-C50C-407E-A947-70E740481C1C}">
                          <a14:useLocalDpi xmlns:a14="http://schemas.microsoft.com/office/drawing/2010/main" val="0"/>
                        </a:ext>
                      </a:extLst>
                    </a:blip>
                    <a:srcRect t="13222" b="2505"/>
                    <a:stretch/>
                  </pic:blipFill>
                  <pic:spPr bwMode="auto">
                    <a:xfrm>
                      <a:off x="0" y="0"/>
                      <a:ext cx="3728085" cy="2838562"/>
                    </a:xfrm>
                    <a:prstGeom prst="rect">
                      <a:avLst/>
                    </a:prstGeom>
                    <a:ln>
                      <a:noFill/>
                    </a:ln>
                    <a:extLst>
                      <a:ext uri="{53640926-AAD7-44D8-BBD7-CCE9431645EC}">
                        <a14:shadowObscured xmlns:a14="http://schemas.microsoft.com/office/drawing/2010/main"/>
                      </a:ext>
                    </a:extLst>
                  </pic:spPr>
                </pic:pic>
              </a:graphicData>
            </a:graphic>
          </wp:inline>
        </w:drawing>
      </w:r>
    </w:p>
    <w:p w:rsidR="00A5167D" w:rsidRDefault="00A5167D" w:rsidP="00A5167D">
      <w:pPr>
        <w:spacing w:line="480" w:lineRule="auto"/>
        <w:ind w:left="720" w:firstLine="720"/>
        <w:jc w:val="center"/>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i/>
          <w:iCs/>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Pr="00A5167D" w:rsidRDefault="00A5167D" w:rsidP="00A5167D">
      <w:pPr>
        <w:spacing w:line="480" w:lineRule="auto"/>
        <w:ind w:firstLine="720"/>
        <w:jc w:val="both"/>
        <w:rPr>
          <w:rFonts w:ascii="Times New Roman" w:hAnsi="Times New Roman" w:cs="Times New Roman"/>
          <w:sz w:val="24"/>
          <w:szCs w:val="24"/>
          <w:lang w:val="id-ID"/>
        </w:rPr>
      </w:pPr>
      <w:proofErr w:type="gramStart"/>
      <w:r w:rsidRPr="006035A5">
        <w:rPr>
          <w:rFonts w:ascii="Times New Roman" w:hAnsi="Times New Roman" w:cs="Times New Roman"/>
          <w:sz w:val="24"/>
          <w:szCs w:val="24"/>
        </w:rPr>
        <w:t>Pada grafik ini, titik-titik residual terdistribusi mengikuti garis diagonal (garis normalitas) dengan baik.</w:t>
      </w:r>
      <w:proofErr w:type="gramEnd"/>
      <w:r w:rsidRPr="006035A5">
        <w:rPr>
          <w:rFonts w:ascii="Times New Roman" w:hAnsi="Times New Roman" w:cs="Times New Roman"/>
          <w:sz w:val="24"/>
          <w:szCs w:val="24"/>
        </w:rPr>
        <w:t xml:space="preserve"> </w:t>
      </w:r>
      <w:proofErr w:type="gramStart"/>
      <w:r w:rsidRPr="006035A5">
        <w:rPr>
          <w:rFonts w:ascii="Times New Roman" w:hAnsi="Times New Roman" w:cs="Times New Roman"/>
          <w:sz w:val="24"/>
          <w:szCs w:val="24"/>
        </w:rPr>
        <w:t xml:space="preserve">Sebagian besar titik-titik tersebut mendekati garis, tanpa adanya </w:t>
      </w:r>
      <w:r w:rsidRPr="006035A5">
        <w:rPr>
          <w:rFonts w:ascii="Times New Roman" w:hAnsi="Times New Roman" w:cs="Times New Roman"/>
          <w:sz w:val="24"/>
          <w:szCs w:val="24"/>
        </w:rPr>
        <w:lastRenderedPageBreak/>
        <w:t>pola melengkung atau penyimpangan ekstrem, yang menandakan bahwa sebaran data residual mengikuti distribusi normal secara visual.</w:t>
      </w:r>
      <w:proofErr w:type="gramEnd"/>
      <w:r w:rsidRPr="006035A5">
        <w:rPr>
          <w:rFonts w:ascii="Times New Roman" w:hAnsi="Times New Roman" w:cs="Times New Roman"/>
          <w:sz w:val="24"/>
          <w:szCs w:val="24"/>
        </w:rPr>
        <w:t xml:space="preserve"> </w:t>
      </w:r>
      <w:proofErr w:type="gramStart"/>
      <w:r w:rsidRPr="006035A5">
        <w:rPr>
          <w:rFonts w:ascii="Times New Roman" w:hAnsi="Times New Roman" w:cs="Times New Roman"/>
          <w:sz w:val="24"/>
          <w:szCs w:val="24"/>
        </w:rPr>
        <w:t>Grafik ini memberikan bukti visual tambahan bahwa model regresi telah memenuhi asumsi normalitas residual.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Uji Kolmogorov-Smirnov sudah dipakai sebagai metode sekunder untuk menilai normalitas.</w:t>
      </w:r>
      <w:proofErr w:type="gramEnd"/>
      <w:r>
        <w:rPr>
          <w:rFonts w:ascii="Times New Roman" w:hAnsi="Times New Roman" w:cs="Times New Roman"/>
          <w:sz w:val="24"/>
          <w:szCs w:val="24"/>
        </w:rPr>
        <w:t xml:space="preserve"> Hasil uji tersebut ditampilkan pada tebl berikut:</w:t>
      </w:r>
    </w:p>
    <w:p w:rsidR="00A5167D" w:rsidRDefault="00A5167D" w:rsidP="00A5167D">
      <w:pPr>
        <w:pStyle w:val="Caption"/>
        <w:jc w:val="center"/>
        <w:rPr>
          <w:rFonts w:ascii="Times New Roman" w:hAnsi="Times New Roman" w:cs="Times New Roman"/>
          <w:b/>
          <w:bCs/>
          <w:i w:val="0"/>
          <w:iCs w:val="0"/>
          <w:color w:val="auto"/>
          <w:sz w:val="24"/>
          <w:szCs w:val="24"/>
        </w:rPr>
      </w:pPr>
      <w:bookmarkStart w:id="19" w:name="_Toc202719546"/>
      <w:bookmarkStart w:id="20" w:name="_Toc202720438"/>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t xml:space="preserve"> </w:t>
      </w:r>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Hasil Uji Normalitas</w:t>
      </w:r>
      <w:bookmarkEnd w:id="19"/>
      <w:bookmarkEnd w:id="20"/>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2"/>
        <w:gridCol w:w="1633"/>
        <w:gridCol w:w="2011"/>
      </w:tblGrid>
      <w:tr w:rsidR="00A5167D" w:rsidRPr="001C0456" w:rsidTr="00471759">
        <w:trPr>
          <w:cantSplit/>
          <w:trHeight w:val="453"/>
          <w:jc w:val="center"/>
        </w:trPr>
        <w:tc>
          <w:tcPr>
            <w:tcW w:w="6406" w:type="dxa"/>
            <w:gridSpan w:val="3"/>
            <w:shd w:val="clear" w:color="auto" w:fill="FFFFFF"/>
            <w:vAlign w:val="center"/>
          </w:tcPr>
          <w:p w:rsidR="00A5167D" w:rsidRPr="001C0456" w:rsidRDefault="00A5167D" w:rsidP="00471759">
            <w:pPr>
              <w:jc w:val="center"/>
            </w:pPr>
            <w:r w:rsidRPr="001C0456">
              <w:rPr>
                <w:b/>
                <w:bCs/>
              </w:rPr>
              <w:t>One-Sample Kolmogorov-Smirnov Test</w:t>
            </w:r>
          </w:p>
        </w:tc>
      </w:tr>
      <w:tr w:rsidR="00A5167D" w:rsidRPr="001C0456" w:rsidTr="00471759">
        <w:trPr>
          <w:cantSplit/>
          <w:trHeight w:val="743"/>
          <w:jc w:val="center"/>
        </w:trPr>
        <w:tc>
          <w:tcPr>
            <w:tcW w:w="4395" w:type="dxa"/>
            <w:gridSpan w:val="2"/>
            <w:shd w:val="clear" w:color="auto" w:fill="FFFFFF"/>
            <w:vAlign w:val="bottom"/>
          </w:tcPr>
          <w:p w:rsidR="00A5167D" w:rsidRPr="001C0456" w:rsidRDefault="00A5167D" w:rsidP="00471759"/>
        </w:tc>
        <w:tc>
          <w:tcPr>
            <w:tcW w:w="2011" w:type="dxa"/>
            <w:shd w:val="clear" w:color="auto" w:fill="FFFFFF"/>
            <w:vAlign w:val="bottom"/>
          </w:tcPr>
          <w:p w:rsidR="00A5167D" w:rsidRPr="001C0456" w:rsidRDefault="00A5167D" w:rsidP="00471759">
            <w:pPr>
              <w:jc w:val="center"/>
            </w:pPr>
            <w:r w:rsidRPr="001C0456">
              <w:t>Unstandardized Residual</w:t>
            </w:r>
          </w:p>
        </w:tc>
      </w:tr>
      <w:tr w:rsidR="00A5167D" w:rsidRPr="001C0456" w:rsidTr="00471759">
        <w:trPr>
          <w:cantSplit/>
          <w:trHeight w:val="440"/>
          <w:jc w:val="center"/>
        </w:trPr>
        <w:tc>
          <w:tcPr>
            <w:tcW w:w="4395" w:type="dxa"/>
            <w:gridSpan w:val="2"/>
            <w:shd w:val="clear" w:color="auto" w:fill="auto"/>
          </w:tcPr>
          <w:p w:rsidR="00A5167D" w:rsidRPr="001C0456" w:rsidRDefault="00A5167D" w:rsidP="00471759">
            <w:r w:rsidRPr="001C0456">
              <w:t>N</w:t>
            </w:r>
          </w:p>
        </w:tc>
        <w:tc>
          <w:tcPr>
            <w:tcW w:w="2011" w:type="dxa"/>
            <w:shd w:val="clear" w:color="auto" w:fill="FFFFFF"/>
          </w:tcPr>
          <w:p w:rsidR="00A5167D" w:rsidRPr="001C0456" w:rsidRDefault="00A5167D" w:rsidP="00471759">
            <w:pPr>
              <w:jc w:val="right"/>
            </w:pPr>
            <w:r w:rsidRPr="001C0456">
              <w:t>75</w:t>
            </w:r>
          </w:p>
        </w:tc>
      </w:tr>
      <w:tr w:rsidR="00A5167D" w:rsidRPr="001C0456" w:rsidTr="00471759">
        <w:trPr>
          <w:cantSplit/>
          <w:trHeight w:val="453"/>
          <w:jc w:val="center"/>
        </w:trPr>
        <w:tc>
          <w:tcPr>
            <w:tcW w:w="2762" w:type="dxa"/>
            <w:vMerge w:val="restart"/>
            <w:shd w:val="clear" w:color="auto" w:fill="auto"/>
          </w:tcPr>
          <w:p w:rsidR="00A5167D" w:rsidRPr="001C0456" w:rsidRDefault="00A5167D" w:rsidP="00471759">
            <w:pPr>
              <w:jc w:val="center"/>
            </w:pPr>
            <w:r w:rsidRPr="001C0456">
              <w:t>Normal Parameters</w:t>
            </w:r>
            <w:r w:rsidRPr="001C0456">
              <w:rPr>
                <w:vertAlign w:val="superscript"/>
              </w:rPr>
              <w:t>a,b</w:t>
            </w:r>
          </w:p>
        </w:tc>
        <w:tc>
          <w:tcPr>
            <w:tcW w:w="1632" w:type="dxa"/>
            <w:shd w:val="clear" w:color="auto" w:fill="auto"/>
          </w:tcPr>
          <w:p w:rsidR="00A5167D" w:rsidRPr="001C0456" w:rsidRDefault="00A5167D" w:rsidP="00471759">
            <w:pPr>
              <w:jc w:val="center"/>
            </w:pPr>
            <w:r w:rsidRPr="001C0456">
              <w:t>Mean</w:t>
            </w:r>
          </w:p>
        </w:tc>
        <w:tc>
          <w:tcPr>
            <w:tcW w:w="2011" w:type="dxa"/>
            <w:shd w:val="clear" w:color="auto" w:fill="FFFFFF"/>
          </w:tcPr>
          <w:p w:rsidR="00A5167D" w:rsidRPr="001C0456" w:rsidRDefault="00A5167D" w:rsidP="00471759">
            <w:pPr>
              <w:jc w:val="right"/>
            </w:pPr>
            <w:r w:rsidRPr="001C0456">
              <w:t>.0000000</w:t>
            </w:r>
          </w:p>
        </w:tc>
      </w:tr>
      <w:tr w:rsidR="00A5167D" w:rsidRPr="001C0456" w:rsidTr="00471759">
        <w:trPr>
          <w:cantSplit/>
          <w:trHeight w:val="144"/>
          <w:jc w:val="center"/>
        </w:trPr>
        <w:tc>
          <w:tcPr>
            <w:tcW w:w="2762" w:type="dxa"/>
            <w:vMerge/>
            <w:shd w:val="clear" w:color="auto" w:fill="auto"/>
          </w:tcPr>
          <w:p w:rsidR="00A5167D" w:rsidRPr="001C0456" w:rsidRDefault="00A5167D" w:rsidP="00471759">
            <w:pPr>
              <w:jc w:val="center"/>
            </w:pPr>
          </w:p>
        </w:tc>
        <w:tc>
          <w:tcPr>
            <w:tcW w:w="1632" w:type="dxa"/>
            <w:shd w:val="clear" w:color="auto" w:fill="auto"/>
          </w:tcPr>
          <w:p w:rsidR="00A5167D" w:rsidRPr="001C0456" w:rsidRDefault="00A5167D" w:rsidP="00471759">
            <w:pPr>
              <w:jc w:val="center"/>
            </w:pPr>
            <w:r w:rsidRPr="001C0456">
              <w:t>Std. Deviation</w:t>
            </w:r>
          </w:p>
        </w:tc>
        <w:tc>
          <w:tcPr>
            <w:tcW w:w="2011" w:type="dxa"/>
            <w:shd w:val="clear" w:color="auto" w:fill="FFFFFF"/>
          </w:tcPr>
          <w:p w:rsidR="00A5167D" w:rsidRPr="001C0456" w:rsidRDefault="00A5167D" w:rsidP="00471759">
            <w:pPr>
              <w:jc w:val="right"/>
            </w:pPr>
            <w:r w:rsidRPr="001C0456">
              <w:t>1.54404147</w:t>
            </w:r>
          </w:p>
        </w:tc>
      </w:tr>
      <w:tr w:rsidR="00A5167D" w:rsidRPr="001C0456" w:rsidTr="00471759">
        <w:trPr>
          <w:cantSplit/>
          <w:trHeight w:val="440"/>
          <w:jc w:val="center"/>
        </w:trPr>
        <w:tc>
          <w:tcPr>
            <w:tcW w:w="2762" w:type="dxa"/>
            <w:vMerge w:val="restart"/>
            <w:shd w:val="clear" w:color="auto" w:fill="auto"/>
          </w:tcPr>
          <w:p w:rsidR="00A5167D" w:rsidRPr="001C0456" w:rsidRDefault="00A5167D" w:rsidP="00471759">
            <w:pPr>
              <w:jc w:val="center"/>
            </w:pPr>
            <w:r w:rsidRPr="001C0456">
              <w:t>Most Extreme Differences</w:t>
            </w:r>
          </w:p>
        </w:tc>
        <w:tc>
          <w:tcPr>
            <w:tcW w:w="1632" w:type="dxa"/>
            <w:shd w:val="clear" w:color="auto" w:fill="auto"/>
          </w:tcPr>
          <w:p w:rsidR="00A5167D" w:rsidRPr="001C0456" w:rsidRDefault="00A5167D" w:rsidP="00471759">
            <w:pPr>
              <w:jc w:val="center"/>
            </w:pPr>
            <w:r w:rsidRPr="001C0456">
              <w:t>Absolute</w:t>
            </w:r>
          </w:p>
        </w:tc>
        <w:tc>
          <w:tcPr>
            <w:tcW w:w="2011" w:type="dxa"/>
            <w:shd w:val="clear" w:color="auto" w:fill="FFFFFF"/>
          </w:tcPr>
          <w:p w:rsidR="00A5167D" w:rsidRPr="001C0456" w:rsidRDefault="00A5167D" w:rsidP="00471759">
            <w:pPr>
              <w:jc w:val="right"/>
            </w:pPr>
            <w:r w:rsidRPr="001C0456">
              <w:t>.100</w:t>
            </w:r>
          </w:p>
        </w:tc>
      </w:tr>
      <w:tr w:rsidR="00A5167D" w:rsidRPr="001C0456" w:rsidTr="00471759">
        <w:trPr>
          <w:cantSplit/>
          <w:trHeight w:val="144"/>
          <w:jc w:val="center"/>
        </w:trPr>
        <w:tc>
          <w:tcPr>
            <w:tcW w:w="2762" w:type="dxa"/>
            <w:vMerge/>
            <w:shd w:val="clear" w:color="auto" w:fill="auto"/>
          </w:tcPr>
          <w:p w:rsidR="00A5167D" w:rsidRPr="001C0456" w:rsidRDefault="00A5167D" w:rsidP="00471759"/>
        </w:tc>
        <w:tc>
          <w:tcPr>
            <w:tcW w:w="1632" w:type="dxa"/>
            <w:shd w:val="clear" w:color="auto" w:fill="auto"/>
          </w:tcPr>
          <w:p w:rsidR="00A5167D" w:rsidRPr="001C0456" w:rsidRDefault="00A5167D" w:rsidP="00471759">
            <w:pPr>
              <w:jc w:val="center"/>
            </w:pPr>
            <w:r w:rsidRPr="001C0456">
              <w:t>Positive</w:t>
            </w:r>
          </w:p>
        </w:tc>
        <w:tc>
          <w:tcPr>
            <w:tcW w:w="2011" w:type="dxa"/>
            <w:shd w:val="clear" w:color="auto" w:fill="FFFFFF"/>
          </w:tcPr>
          <w:p w:rsidR="00A5167D" w:rsidRPr="001C0456" w:rsidRDefault="00A5167D" w:rsidP="00471759">
            <w:pPr>
              <w:jc w:val="right"/>
            </w:pPr>
            <w:r w:rsidRPr="001C0456">
              <w:t>.100</w:t>
            </w:r>
          </w:p>
        </w:tc>
      </w:tr>
      <w:tr w:rsidR="00A5167D" w:rsidRPr="001C0456" w:rsidTr="00471759">
        <w:trPr>
          <w:cantSplit/>
          <w:trHeight w:val="144"/>
          <w:jc w:val="center"/>
        </w:trPr>
        <w:tc>
          <w:tcPr>
            <w:tcW w:w="2762" w:type="dxa"/>
            <w:vMerge/>
            <w:shd w:val="clear" w:color="auto" w:fill="auto"/>
          </w:tcPr>
          <w:p w:rsidR="00A5167D" w:rsidRPr="001C0456" w:rsidRDefault="00A5167D" w:rsidP="00471759"/>
        </w:tc>
        <w:tc>
          <w:tcPr>
            <w:tcW w:w="1632" w:type="dxa"/>
            <w:shd w:val="clear" w:color="auto" w:fill="auto"/>
          </w:tcPr>
          <w:p w:rsidR="00A5167D" w:rsidRPr="001C0456" w:rsidRDefault="00A5167D" w:rsidP="00471759">
            <w:pPr>
              <w:jc w:val="center"/>
            </w:pPr>
            <w:r w:rsidRPr="001C0456">
              <w:t>Negative</w:t>
            </w:r>
          </w:p>
        </w:tc>
        <w:tc>
          <w:tcPr>
            <w:tcW w:w="2011" w:type="dxa"/>
            <w:shd w:val="clear" w:color="auto" w:fill="FFFFFF"/>
          </w:tcPr>
          <w:p w:rsidR="00A5167D" w:rsidRPr="001C0456" w:rsidRDefault="00A5167D" w:rsidP="00471759">
            <w:pPr>
              <w:jc w:val="right"/>
            </w:pPr>
            <w:r w:rsidRPr="001C0456">
              <w:t>-.068</w:t>
            </w:r>
          </w:p>
        </w:tc>
      </w:tr>
      <w:tr w:rsidR="00A5167D" w:rsidRPr="001C0456" w:rsidTr="00471759">
        <w:trPr>
          <w:cantSplit/>
          <w:trHeight w:val="453"/>
          <w:jc w:val="center"/>
        </w:trPr>
        <w:tc>
          <w:tcPr>
            <w:tcW w:w="4395" w:type="dxa"/>
            <w:gridSpan w:val="2"/>
            <w:shd w:val="clear" w:color="auto" w:fill="auto"/>
          </w:tcPr>
          <w:p w:rsidR="00A5167D" w:rsidRPr="001C0456" w:rsidRDefault="00A5167D" w:rsidP="00471759">
            <w:r w:rsidRPr="001C0456">
              <w:t>Test Statistic</w:t>
            </w:r>
          </w:p>
        </w:tc>
        <w:tc>
          <w:tcPr>
            <w:tcW w:w="2011" w:type="dxa"/>
            <w:shd w:val="clear" w:color="auto" w:fill="FFFFFF"/>
          </w:tcPr>
          <w:p w:rsidR="00A5167D" w:rsidRPr="001C0456" w:rsidRDefault="00A5167D" w:rsidP="00471759">
            <w:pPr>
              <w:jc w:val="right"/>
            </w:pPr>
            <w:r w:rsidRPr="001C0456">
              <w:t>.100</w:t>
            </w:r>
          </w:p>
        </w:tc>
      </w:tr>
      <w:tr w:rsidR="00A5167D" w:rsidRPr="001C0456" w:rsidTr="00471759">
        <w:trPr>
          <w:cantSplit/>
          <w:trHeight w:val="440"/>
          <w:jc w:val="center"/>
        </w:trPr>
        <w:tc>
          <w:tcPr>
            <w:tcW w:w="4395" w:type="dxa"/>
            <w:gridSpan w:val="2"/>
            <w:shd w:val="clear" w:color="auto" w:fill="auto"/>
          </w:tcPr>
          <w:p w:rsidR="00A5167D" w:rsidRPr="001C0456" w:rsidRDefault="00A5167D" w:rsidP="00471759">
            <w:r w:rsidRPr="001C0456">
              <w:t>Asymp. Sig. (2-tailed)</w:t>
            </w:r>
          </w:p>
        </w:tc>
        <w:tc>
          <w:tcPr>
            <w:tcW w:w="2011" w:type="dxa"/>
            <w:shd w:val="clear" w:color="auto" w:fill="FFFFFF"/>
          </w:tcPr>
          <w:p w:rsidR="00A5167D" w:rsidRPr="001C0456" w:rsidRDefault="00A5167D" w:rsidP="00471759">
            <w:pPr>
              <w:jc w:val="right"/>
            </w:pPr>
            <w:r w:rsidRPr="001C0456">
              <w:t>.062</w:t>
            </w:r>
            <w:r w:rsidRPr="001C0456">
              <w:rPr>
                <w:vertAlign w:val="superscript"/>
              </w:rPr>
              <w:t>c</w:t>
            </w:r>
          </w:p>
        </w:tc>
      </w:tr>
      <w:tr w:rsidR="00A5167D" w:rsidRPr="001C0456" w:rsidTr="00471759">
        <w:trPr>
          <w:cantSplit/>
          <w:trHeight w:val="453"/>
          <w:jc w:val="center"/>
        </w:trPr>
        <w:tc>
          <w:tcPr>
            <w:tcW w:w="6406" w:type="dxa"/>
            <w:gridSpan w:val="3"/>
            <w:shd w:val="clear" w:color="auto" w:fill="FFFFFF"/>
          </w:tcPr>
          <w:p w:rsidR="00A5167D" w:rsidRPr="001C0456" w:rsidRDefault="00A5167D" w:rsidP="00471759">
            <w:r w:rsidRPr="001C0456">
              <w:t>a. Test distribution is Normal.</w:t>
            </w:r>
          </w:p>
        </w:tc>
      </w:tr>
      <w:tr w:rsidR="00A5167D" w:rsidRPr="001C0456" w:rsidTr="00471759">
        <w:trPr>
          <w:cantSplit/>
          <w:trHeight w:val="453"/>
          <w:jc w:val="center"/>
        </w:trPr>
        <w:tc>
          <w:tcPr>
            <w:tcW w:w="6406" w:type="dxa"/>
            <w:gridSpan w:val="3"/>
            <w:shd w:val="clear" w:color="auto" w:fill="FFFFFF"/>
          </w:tcPr>
          <w:p w:rsidR="00A5167D" w:rsidRPr="001C0456" w:rsidRDefault="00A5167D" w:rsidP="00471759">
            <w:r w:rsidRPr="001C0456">
              <w:t>b. Calculated from data.</w:t>
            </w:r>
          </w:p>
        </w:tc>
      </w:tr>
      <w:tr w:rsidR="00A5167D" w:rsidRPr="001C0456" w:rsidTr="00471759">
        <w:trPr>
          <w:cantSplit/>
          <w:trHeight w:val="440"/>
          <w:jc w:val="center"/>
        </w:trPr>
        <w:tc>
          <w:tcPr>
            <w:tcW w:w="6406" w:type="dxa"/>
            <w:gridSpan w:val="3"/>
            <w:shd w:val="clear" w:color="auto" w:fill="FFFFFF"/>
          </w:tcPr>
          <w:p w:rsidR="00A5167D" w:rsidRPr="001C0456" w:rsidRDefault="00A5167D" w:rsidP="00471759">
            <w:proofErr w:type="gramStart"/>
            <w:r w:rsidRPr="001C0456">
              <w:t>c</w:t>
            </w:r>
            <w:proofErr w:type="gramEnd"/>
            <w:r w:rsidRPr="001C0456">
              <w:t>. Lilliefors Significance Correction.</w:t>
            </w:r>
          </w:p>
        </w:tc>
      </w:tr>
    </w:tbl>
    <w:p w:rsidR="00A5167D" w:rsidRDefault="00A5167D" w:rsidP="00A5167D">
      <w:pPr>
        <w:spacing w:line="480" w:lineRule="auto"/>
        <w:ind w:firstLine="720"/>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Pr="00830DA5" w:rsidRDefault="00A5167D" w:rsidP="00A5167D">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w:t>
      </w:r>
      <w:r w:rsidRPr="00B34C52">
        <w:rPr>
          <w:rFonts w:ascii="Times New Roman" w:hAnsi="Times New Roman" w:cs="Times New Roman"/>
          <w:sz w:val="24"/>
          <w:szCs w:val="24"/>
        </w:rPr>
        <w:t>asil uji Kolmogorov-Smirnov menunjukkan bahwa nilai signifikansi Asymp.</w:t>
      </w:r>
      <w:proofErr w:type="gramEnd"/>
      <w:r w:rsidRPr="00B34C52">
        <w:rPr>
          <w:rFonts w:ascii="Times New Roman" w:hAnsi="Times New Roman" w:cs="Times New Roman"/>
          <w:sz w:val="24"/>
          <w:szCs w:val="24"/>
        </w:rPr>
        <w:t xml:space="preserve"> Sig. (2-tailed) sebesar </w:t>
      </w:r>
      <w:r w:rsidRPr="00B34C52">
        <w:rPr>
          <w:rFonts w:ascii="Times New Roman" w:hAnsi="Times New Roman" w:cs="Times New Roman"/>
          <w:b/>
          <w:bCs/>
          <w:sz w:val="24"/>
          <w:szCs w:val="24"/>
        </w:rPr>
        <w:t>0,062</w:t>
      </w:r>
      <w:r w:rsidRPr="00B34C52">
        <w:rPr>
          <w:rFonts w:ascii="Times New Roman" w:hAnsi="Times New Roman" w:cs="Times New Roman"/>
          <w:sz w:val="24"/>
          <w:szCs w:val="24"/>
        </w:rPr>
        <w:t>, yang berada di atas tingkat signifikansi 0</w:t>
      </w:r>
      <w:proofErr w:type="gramStart"/>
      <w:r w:rsidRPr="00B34C52">
        <w:rPr>
          <w:rFonts w:ascii="Times New Roman" w:hAnsi="Times New Roman" w:cs="Times New Roman"/>
          <w:sz w:val="24"/>
          <w:szCs w:val="24"/>
        </w:rPr>
        <w:t>,05</w:t>
      </w:r>
      <w:proofErr w:type="gramEnd"/>
      <w:r w:rsidRPr="00B34C52">
        <w:rPr>
          <w:rFonts w:ascii="Times New Roman" w:hAnsi="Times New Roman" w:cs="Times New Roman"/>
          <w:sz w:val="24"/>
          <w:szCs w:val="24"/>
        </w:rPr>
        <w:t xml:space="preserve">. </w:t>
      </w:r>
      <w:proofErr w:type="gramStart"/>
      <w:r w:rsidRPr="00B34C52">
        <w:rPr>
          <w:rFonts w:ascii="Times New Roman" w:hAnsi="Times New Roman" w:cs="Times New Roman"/>
          <w:sz w:val="24"/>
          <w:szCs w:val="24"/>
        </w:rPr>
        <w:t>Hal ini mengindikasikan bahwa residual berdistribusi normal, karena tidak terdapat cukup bukti untuk menolak hipotesis nol (H₀) yang menyatakan bahwa data residual berdistribusi normal.</w:t>
      </w:r>
      <w:proofErr w:type="gramEnd"/>
      <w:r w:rsidRPr="00B34C52">
        <w:rPr>
          <w:rFonts w:ascii="Times New Roman" w:hAnsi="Times New Roman" w:cs="Times New Roman"/>
          <w:sz w:val="24"/>
          <w:szCs w:val="24"/>
        </w:rPr>
        <w:t xml:space="preserve"> </w:t>
      </w:r>
      <w:proofErr w:type="gramStart"/>
      <w:r w:rsidRPr="00B34C52">
        <w:rPr>
          <w:rFonts w:ascii="Times New Roman" w:hAnsi="Times New Roman" w:cs="Times New Roman"/>
          <w:sz w:val="24"/>
          <w:szCs w:val="24"/>
        </w:rPr>
        <w:t>Dengan demikian, model regresi memenuhi asumsi normalitas yang menjadi salah satu syarat dalam analisis regresi linier berganda (Ghozali, 2021).</w:t>
      </w:r>
      <w:proofErr w:type="gramEnd"/>
      <w:r>
        <w:rPr>
          <w:rFonts w:ascii="Times New Roman" w:hAnsi="Times New Roman" w:cs="Times New Roman"/>
          <w:sz w:val="24"/>
          <w:szCs w:val="24"/>
        </w:rPr>
        <w:t xml:space="preserve"> </w:t>
      </w:r>
      <w:r w:rsidRPr="00830DA5">
        <w:rPr>
          <w:rFonts w:ascii="Times New Roman" w:hAnsi="Times New Roman" w:cs="Times New Roman"/>
          <w:sz w:val="24"/>
          <w:szCs w:val="24"/>
        </w:rPr>
        <w:t xml:space="preserve">Model regresi linier yang </w:t>
      </w:r>
      <w:r w:rsidRPr="00830DA5">
        <w:rPr>
          <w:rFonts w:ascii="Times New Roman" w:hAnsi="Times New Roman" w:cs="Times New Roman"/>
          <w:sz w:val="24"/>
          <w:szCs w:val="24"/>
        </w:rPr>
        <w:lastRenderedPageBreak/>
        <w:t>digunakan dalam penelitian ini dinyatakan layak untuk digunakan dalam proses estimasi dan pengambilan keputusan lebih lanjut.</w:t>
      </w:r>
    </w:p>
    <w:p w:rsidR="00A5167D" w:rsidRDefault="00A5167D" w:rsidP="00A5167D">
      <w:pPr>
        <w:pStyle w:val="Heading4"/>
      </w:pPr>
      <w:r>
        <w:t>4.2.2.2 Uji Multikolinearitas</w:t>
      </w:r>
    </w:p>
    <w:p w:rsidR="00A5167D" w:rsidRPr="00A5167D" w:rsidRDefault="00A5167D" w:rsidP="00A5167D">
      <w:pPr>
        <w:spacing w:line="480" w:lineRule="auto"/>
        <w:ind w:firstLine="720"/>
        <w:jc w:val="both"/>
        <w:rPr>
          <w:rFonts w:ascii="Times New Roman" w:hAnsi="Times New Roman" w:cs="Times New Roman"/>
          <w:sz w:val="24"/>
          <w:szCs w:val="24"/>
          <w:lang w:val="id-ID"/>
        </w:rPr>
      </w:pPr>
      <w:r w:rsidRPr="00E828BA">
        <w:rPr>
          <w:rFonts w:ascii="Times New Roman" w:hAnsi="Times New Roman" w:cs="Times New Roman"/>
          <w:sz w:val="24"/>
          <w:szCs w:val="24"/>
        </w:rPr>
        <w:t xml:space="preserve">Penelitian ini bertujuan untuk mengidentifikasi sejauh mana hubungan atau korelasi yang terjadi antar variabel independen dalam model regresi, </w:t>
      </w:r>
      <w:r>
        <w:rPr>
          <w:rFonts w:ascii="Times New Roman" w:hAnsi="Times New Roman" w:cs="Times New Roman"/>
          <w:sz w:val="24"/>
          <w:szCs w:val="24"/>
        </w:rPr>
        <w:t>untuk</w:t>
      </w:r>
      <w:r w:rsidRPr="00E828BA">
        <w:rPr>
          <w:rFonts w:ascii="Times New Roman" w:hAnsi="Times New Roman" w:cs="Times New Roman"/>
          <w:sz w:val="24"/>
          <w:szCs w:val="24"/>
        </w:rPr>
        <w:t xml:space="preserve"> memastikan tidak adanya multikolinearitas yang dapat mengganggu validitas model (Ghozali, 2021).</w:t>
      </w:r>
      <w:r>
        <w:rPr>
          <w:rFonts w:ascii="Times New Roman" w:hAnsi="Times New Roman" w:cs="Times New Roman"/>
          <w:sz w:val="24"/>
          <w:szCs w:val="24"/>
        </w:rPr>
        <w:t xml:space="preserve"> Berikut tabel temuan uji multikolinearitas:</w:t>
      </w:r>
    </w:p>
    <w:p w:rsidR="00A5167D" w:rsidRDefault="00A5167D" w:rsidP="00A5167D">
      <w:pPr>
        <w:pStyle w:val="Caption"/>
        <w:jc w:val="center"/>
        <w:rPr>
          <w:rFonts w:ascii="Times New Roman" w:hAnsi="Times New Roman" w:cs="Times New Roman"/>
          <w:b/>
          <w:bCs/>
          <w:i w:val="0"/>
          <w:iCs w:val="0"/>
          <w:color w:val="auto"/>
          <w:sz w:val="24"/>
          <w:szCs w:val="24"/>
        </w:rPr>
      </w:pPr>
      <w:bookmarkStart w:id="21" w:name="_Toc202720439"/>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t xml:space="preserve"> </w:t>
      </w:r>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Hasil Uji Multikolinearitas</w:t>
      </w:r>
      <w:bookmarkEnd w:id="21"/>
    </w:p>
    <w:tbl>
      <w:tblPr>
        <w:tblW w:w="6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2"/>
        <w:gridCol w:w="1766"/>
        <w:gridCol w:w="1945"/>
      </w:tblGrid>
      <w:tr w:rsidR="00A5167D" w:rsidRPr="00D146E8" w:rsidTr="00471759">
        <w:trPr>
          <w:cantSplit/>
          <w:trHeight w:val="907"/>
          <w:jc w:val="center"/>
        </w:trPr>
        <w:tc>
          <w:tcPr>
            <w:tcW w:w="2652" w:type="dxa"/>
            <w:vMerge w:val="restart"/>
            <w:shd w:val="clear" w:color="auto" w:fill="FFFFFF"/>
            <w:vAlign w:val="center"/>
          </w:tcPr>
          <w:p w:rsidR="00A5167D" w:rsidRPr="00D146E8" w:rsidRDefault="00A5167D" w:rsidP="00471759">
            <w:pPr>
              <w:jc w:val="center"/>
            </w:pPr>
            <w:r w:rsidRPr="00D146E8">
              <w:t>Model</w:t>
            </w:r>
          </w:p>
        </w:tc>
        <w:tc>
          <w:tcPr>
            <w:tcW w:w="3710" w:type="dxa"/>
            <w:gridSpan w:val="2"/>
            <w:shd w:val="clear" w:color="auto" w:fill="FFFFFF"/>
            <w:vAlign w:val="bottom"/>
          </w:tcPr>
          <w:p w:rsidR="00A5167D" w:rsidRPr="00D146E8" w:rsidRDefault="00A5167D" w:rsidP="00471759">
            <w:pPr>
              <w:jc w:val="center"/>
            </w:pPr>
            <w:r w:rsidRPr="00D146E8">
              <w:t>Collinearity Statistics</w:t>
            </w:r>
          </w:p>
        </w:tc>
      </w:tr>
      <w:tr w:rsidR="00A5167D" w:rsidRPr="00D146E8" w:rsidTr="00471759">
        <w:trPr>
          <w:cantSplit/>
          <w:trHeight w:val="155"/>
          <w:jc w:val="center"/>
        </w:trPr>
        <w:tc>
          <w:tcPr>
            <w:tcW w:w="2652" w:type="dxa"/>
            <w:vMerge/>
            <w:shd w:val="clear" w:color="auto" w:fill="FFFFFF"/>
            <w:vAlign w:val="bottom"/>
          </w:tcPr>
          <w:p w:rsidR="00A5167D" w:rsidRPr="00D146E8" w:rsidRDefault="00A5167D" w:rsidP="00471759"/>
        </w:tc>
        <w:tc>
          <w:tcPr>
            <w:tcW w:w="1766" w:type="dxa"/>
            <w:shd w:val="clear" w:color="auto" w:fill="FFFFFF"/>
            <w:vAlign w:val="bottom"/>
          </w:tcPr>
          <w:p w:rsidR="00A5167D" w:rsidRPr="00D146E8" w:rsidRDefault="00A5167D" w:rsidP="00471759">
            <w:pPr>
              <w:jc w:val="center"/>
            </w:pPr>
            <w:r w:rsidRPr="00D146E8">
              <w:t>Tolerance</w:t>
            </w:r>
          </w:p>
        </w:tc>
        <w:tc>
          <w:tcPr>
            <w:tcW w:w="1944" w:type="dxa"/>
            <w:shd w:val="clear" w:color="auto" w:fill="FFFFFF"/>
            <w:vAlign w:val="bottom"/>
          </w:tcPr>
          <w:p w:rsidR="00A5167D" w:rsidRPr="00D146E8" w:rsidRDefault="00A5167D" w:rsidP="00471759">
            <w:pPr>
              <w:jc w:val="center"/>
            </w:pPr>
            <w:r w:rsidRPr="00D146E8">
              <w:t>VIF</w:t>
            </w:r>
          </w:p>
        </w:tc>
      </w:tr>
      <w:tr w:rsidR="00A5167D" w:rsidRPr="00D146E8" w:rsidTr="00471759">
        <w:trPr>
          <w:cantSplit/>
          <w:trHeight w:val="527"/>
          <w:jc w:val="center"/>
        </w:trPr>
        <w:tc>
          <w:tcPr>
            <w:tcW w:w="2652" w:type="dxa"/>
            <w:shd w:val="clear" w:color="auto" w:fill="FFFFFF"/>
          </w:tcPr>
          <w:p w:rsidR="00A5167D" w:rsidRPr="00D146E8" w:rsidRDefault="00A5167D" w:rsidP="00471759">
            <w:r w:rsidRPr="00D146E8">
              <w:t>(Constant)</w:t>
            </w:r>
          </w:p>
        </w:tc>
        <w:tc>
          <w:tcPr>
            <w:tcW w:w="1766" w:type="dxa"/>
            <w:shd w:val="clear" w:color="auto" w:fill="FFFFFF"/>
            <w:vAlign w:val="center"/>
          </w:tcPr>
          <w:p w:rsidR="00A5167D" w:rsidRPr="00D146E8" w:rsidRDefault="00A5167D" w:rsidP="00471759"/>
        </w:tc>
        <w:tc>
          <w:tcPr>
            <w:tcW w:w="1944" w:type="dxa"/>
            <w:shd w:val="clear" w:color="auto" w:fill="FFFFFF"/>
            <w:vAlign w:val="center"/>
          </w:tcPr>
          <w:p w:rsidR="00A5167D" w:rsidRPr="00D146E8" w:rsidRDefault="00A5167D" w:rsidP="00471759"/>
        </w:tc>
      </w:tr>
      <w:tr w:rsidR="00A5167D" w:rsidRPr="00D146E8" w:rsidTr="00471759">
        <w:trPr>
          <w:cantSplit/>
          <w:trHeight w:val="155"/>
          <w:jc w:val="center"/>
        </w:trPr>
        <w:tc>
          <w:tcPr>
            <w:tcW w:w="2652" w:type="dxa"/>
            <w:shd w:val="clear" w:color="auto" w:fill="FFFFFF"/>
          </w:tcPr>
          <w:p w:rsidR="00A5167D" w:rsidRPr="00D146E8" w:rsidRDefault="00A5167D" w:rsidP="00471759">
            <w:r w:rsidRPr="00D146E8">
              <w:t>Tingkat Utang</w:t>
            </w:r>
          </w:p>
        </w:tc>
        <w:tc>
          <w:tcPr>
            <w:tcW w:w="1766" w:type="dxa"/>
            <w:shd w:val="clear" w:color="auto" w:fill="FFFFFF"/>
          </w:tcPr>
          <w:p w:rsidR="00A5167D" w:rsidRPr="00D146E8" w:rsidRDefault="00A5167D" w:rsidP="00471759">
            <w:pPr>
              <w:jc w:val="right"/>
            </w:pPr>
            <w:r w:rsidRPr="00D146E8">
              <w:t>.691</w:t>
            </w:r>
          </w:p>
        </w:tc>
        <w:tc>
          <w:tcPr>
            <w:tcW w:w="1944" w:type="dxa"/>
            <w:shd w:val="clear" w:color="auto" w:fill="FFFFFF"/>
          </w:tcPr>
          <w:p w:rsidR="00A5167D" w:rsidRPr="00D146E8" w:rsidRDefault="00A5167D" w:rsidP="00471759">
            <w:pPr>
              <w:jc w:val="right"/>
            </w:pPr>
            <w:r w:rsidRPr="00D146E8">
              <w:t>1.448</w:t>
            </w:r>
          </w:p>
        </w:tc>
      </w:tr>
      <w:tr w:rsidR="00A5167D" w:rsidRPr="00D146E8" w:rsidTr="00471759">
        <w:trPr>
          <w:cantSplit/>
          <w:trHeight w:val="155"/>
          <w:jc w:val="center"/>
        </w:trPr>
        <w:tc>
          <w:tcPr>
            <w:tcW w:w="2652" w:type="dxa"/>
            <w:shd w:val="clear" w:color="auto" w:fill="FFFFFF"/>
          </w:tcPr>
          <w:p w:rsidR="00A5167D" w:rsidRPr="00D146E8" w:rsidRDefault="00A5167D" w:rsidP="00471759">
            <w:r w:rsidRPr="00D146E8">
              <w:t>profitabilitas</w:t>
            </w:r>
          </w:p>
        </w:tc>
        <w:tc>
          <w:tcPr>
            <w:tcW w:w="1766" w:type="dxa"/>
            <w:shd w:val="clear" w:color="auto" w:fill="FFFFFF"/>
          </w:tcPr>
          <w:p w:rsidR="00A5167D" w:rsidRPr="00D146E8" w:rsidRDefault="00A5167D" w:rsidP="00471759">
            <w:pPr>
              <w:jc w:val="right"/>
            </w:pPr>
            <w:r w:rsidRPr="00D146E8">
              <w:t>.738</w:t>
            </w:r>
          </w:p>
        </w:tc>
        <w:tc>
          <w:tcPr>
            <w:tcW w:w="1944" w:type="dxa"/>
            <w:shd w:val="clear" w:color="auto" w:fill="FFFFFF"/>
          </w:tcPr>
          <w:p w:rsidR="00A5167D" w:rsidRPr="00D146E8" w:rsidRDefault="00A5167D" w:rsidP="00471759">
            <w:pPr>
              <w:jc w:val="right"/>
            </w:pPr>
            <w:r w:rsidRPr="00D146E8">
              <w:t>1.356</w:t>
            </w:r>
          </w:p>
        </w:tc>
      </w:tr>
      <w:tr w:rsidR="00A5167D" w:rsidRPr="00D146E8" w:rsidTr="00471759">
        <w:trPr>
          <w:cantSplit/>
          <w:trHeight w:val="155"/>
          <w:jc w:val="center"/>
        </w:trPr>
        <w:tc>
          <w:tcPr>
            <w:tcW w:w="2652" w:type="dxa"/>
            <w:shd w:val="clear" w:color="auto" w:fill="FFFFFF"/>
          </w:tcPr>
          <w:p w:rsidR="00A5167D" w:rsidRPr="00D146E8" w:rsidRDefault="00A5167D" w:rsidP="00471759">
            <w:r w:rsidRPr="00D146E8">
              <w:t>Ukuran Perusahaan</w:t>
            </w:r>
          </w:p>
        </w:tc>
        <w:tc>
          <w:tcPr>
            <w:tcW w:w="1766" w:type="dxa"/>
            <w:shd w:val="clear" w:color="auto" w:fill="FFFFFF"/>
          </w:tcPr>
          <w:p w:rsidR="00A5167D" w:rsidRPr="00D146E8" w:rsidRDefault="00A5167D" w:rsidP="00471759">
            <w:pPr>
              <w:jc w:val="right"/>
            </w:pPr>
            <w:r w:rsidRPr="00D146E8">
              <w:t>.903</w:t>
            </w:r>
          </w:p>
        </w:tc>
        <w:tc>
          <w:tcPr>
            <w:tcW w:w="1944" w:type="dxa"/>
            <w:shd w:val="clear" w:color="auto" w:fill="FFFFFF"/>
          </w:tcPr>
          <w:p w:rsidR="00A5167D" w:rsidRPr="00D146E8" w:rsidRDefault="00A5167D" w:rsidP="00471759">
            <w:pPr>
              <w:jc w:val="right"/>
            </w:pPr>
            <w:r w:rsidRPr="00D146E8">
              <w:t>1.107</w:t>
            </w:r>
          </w:p>
        </w:tc>
      </w:tr>
      <w:tr w:rsidR="00A5167D" w:rsidRPr="00D146E8" w:rsidTr="00471759">
        <w:trPr>
          <w:cantSplit/>
          <w:trHeight w:val="527"/>
          <w:jc w:val="center"/>
        </w:trPr>
        <w:tc>
          <w:tcPr>
            <w:tcW w:w="6363" w:type="dxa"/>
            <w:gridSpan w:val="3"/>
            <w:shd w:val="clear" w:color="auto" w:fill="FFFFFF"/>
          </w:tcPr>
          <w:p w:rsidR="00A5167D" w:rsidRPr="00D146E8" w:rsidRDefault="00A5167D" w:rsidP="00471759">
            <w:r w:rsidRPr="00D146E8">
              <w:t>a. Dependent Variable: Penghindaran Pajak</w:t>
            </w:r>
          </w:p>
        </w:tc>
      </w:tr>
    </w:tbl>
    <w:p w:rsidR="00A5167D" w:rsidRDefault="00A5167D" w:rsidP="00A5167D">
      <w:pPr>
        <w:spacing w:line="480" w:lineRule="auto"/>
        <w:ind w:firstLine="720"/>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Pr="005E32FE" w:rsidRDefault="00A5167D" w:rsidP="00A5167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E32FE">
        <w:rPr>
          <w:rFonts w:ascii="Times New Roman" w:hAnsi="Times New Roman" w:cs="Times New Roman"/>
          <w:sz w:val="24"/>
          <w:szCs w:val="24"/>
        </w:rPr>
        <w:t xml:space="preserve">Berdasarkan hasil output uji multikolinearitas pada tabel </w:t>
      </w:r>
      <w:r w:rsidRPr="00993BA8">
        <w:rPr>
          <w:rFonts w:ascii="Times New Roman" w:hAnsi="Times New Roman" w:cs="Times New Roman"/>
          <w:i/>
          <w:iCs/>
          <w:sz w:val="24"/>
          <w:szCs w:val="24"/>
        </w:rPr>
        <w:t>Coefficients</w:t>
      </w:r>
      <w:r w:rsidRPr="005E32FE">
        <w:rPr>
          <w:rFonts w:ascii="Times New Roman" w:hAnsi="Times New Roman" w:cs="Times New Roman"/>
          <w:sz w:val="24"/>
          <w:szCs w:val="24"/>
        </w:rPr>
        <w:t xml:space="preserve"> yang ditampilkan di atas, dapat dilakukan analisis terhadap nilai </w:t>
      </w:r>
      <w:r w:rsidRPr="00993BA8">
        <w:rPr>
          <w:rFonts w:ascii="Times New Roman" w:hAnsi="Times New Roman" w:cs="Times New Roman"/>
          <w:i/>
          <w:iCs/>
          <w:sz w:val="24"/>
          <w:szCs w:val="24"/>
        </w:rPr>
        <w:t>Variance Inflation Factor</w:t>
      </w:r>
      <w:r w:rsidRPr="005E32FE">
        <w:rPr>
          <w:rFonts w:ascii="Times New Roman" w:hAnsi="Times New Roman" w:cs="Times New Roman"/>
          <w:sz w:val="24"/>
          <w:szCs w:val="24"/>
        </w:rPr>
        <w:t xml:space="preserve"> (VIF) dan </w:t>
      </w:r>
      <w:r w:rsidRPr="00993BA8">
        <w:rPr>
          <w:rFonts w:ascii="Times New Roman" w:hAnsi="Times New Roman" w:cs="Times New Roman"/>
          <w:i/>
          <w:iCs/>
          <w:sz w:val="24"/>
          <w:szCs w:val="24"/>
        </w:rPr>
        <w:t>Tolerance</w:t>
      </w:r>
      <w:r w:rsidRPr="005E32FE">
        <w:rPr>
          <w:rFonts w:ascii="Times New Roman" w:hAnsi="Times New Roman" w:cs="Times New Roman"/>
          <w:sz w:val="24"/>
          <w:szCs w:val="24"/>
        </w:rPr>
        <w:t xml:space="preserve"> dari masing-masing variabel independen, yaitu Tingkat Utang, Profitabilitas, dan Ukuran Perusahaan. Uji ini penting dilakukan untuk mengetahui apakah terdapat gejala multikolinearitas, yaitu kondisi di mana variabel independen saling berkorelasi secara tinggi satu </w:t>
      </w:r>
      <w:proofErr w:type="gramStart"/>
      <w:r w:rsidRPr="005E32FE">
        <w:rPr>
          <w:rFonts w:ascii="Times New Roman" w:hAnsi="Times New Roman" w:cs="Times New Roman"/>
          <w:sz w:val="24"/>
          <w:szCs w:val="24"/>
        </w:rPr>
        <w:t>sama</w:t>
      </w:r>
      <w:proofErr w:type="gramEnd"/>
      <w:r w:rsidRPr="005E32FE">
        <w:rPr>
          <w:rFonts w:ascii="Times New Roman" w:hAnsi="Times New Roman" w:cs="Times New Roman"/>
          <w:sz w:val="24"/>
          <w:szCs w:val="24"/>
        </w:rPr>
        <w:t xml:space="preserve"> lain dalam model regresi linear berganda. </w:t>
      </w:r>
      <w:proofErr w:type="gramStart"/>
      <w:r w:rsidRPr="005E32FE">
        <w:rPr>
          <w:rFonts w:ascii="Times New Roman" w:hAnsi="Times New Roman" w:cs="Times New Roman"/>
          <w:sz w:val="24"/>
          <w:szCs w:val="24"/>
        </w:rPr>
        <w:t>Jika multikolinearitas terjadi, maka hal ini dapat mengganggu validitas hasil regresi.</w:t>
      </w:r>
      <w:proofErr w:type="gramEnd"/>
    </w:p>
    <w:p w:rsidR="00A5167D" w:rsidRDefault="00A5167D" w:rsidP="00A5167D">
      <w:pPr>
        <w:spacing w:line="480" w:lineRule="auto"/>
        <w:ind w:firstLine="720"/>
        <w:jc w:val="both"/>
        <w:rPr>
          <w:rFonts w:ascii="Times New Roman" w:hAnsi="Times New Roman" w:cs="Times New Roman"/>
          <w:sz w:val="24"/>
          <w:szCs w:val="24"/>
        </w:rPr>
      </w:pPr>
      <w:r w:rsidRPr="005E32FE">
        <w:rPr>
          <w:rFonts w:ascii="Times New Roman" w:hAnsi="Times New Roman" w:cs="Times New Roman"/>
          <w:sz w:val="24"/>
          <w:szCs w:val="24"/>
        </w:rPr>
        <w:lastRenderedPageBreak/>
        <w:t xml:space="preserve">Hasil pengujian, variabel Tingkat Utang memiliki nilai Tolerance sebesar </w:t>
      </w:r>
      <w:r w:rsidRPr="003E2DB9">
        <w:rPr>
          <w:rFonts w:ascii="Times New Roman" w:hAnsi="Times New Roman" w:cs="Times New Roman"/>
          <w:sz w:val="24"/>
          <w:szCs w:val="24"/>
        </w:rPr>
        <w:t>0,691</w:t>
      </w:r>
      <w:r w:rsidRPr="005E32FE">
        <w:rPr>
          <w:rFonts w:ascii="Times New Roman" w:hAnsi="Times New Roman" w:cs="Times New Roman"/>
          <w:sz w:val="24"/>
          <w:szCs w:val="24"/>
        </w:rPr>
        <w:t xml:space="preserve"> dan VIF sebesar </w:t>
      </w:r>
      <w:r w:rsidRPr="003E2DB9">
        <w:rPr>
          <w:rFonts w:ascii="Times New Roman" w:hAnsi="Times New Roman" w:cs="Times New Roman"/>
          <w:sz w:val="24"/>
          <w:szCs w:val="24"/>
        </w:rPr>
        <w:t>1,448</w:t>
      </w:r>
      <w:r w:rsidRPr="005E32FE">
        <w:rPr>
          <w:rFonts w:ascii="Times New Roman" w:hAnsi="Times New Roman" w:cs="Times New Roman"/>
          <w:sz w:val="24"/>
          <w:szCs w:val="24"/>
        </w:rPr>
        <w:t xml:space="preserve">, variabel Profitabilitas memiliki Tolerance </w:t>
      </w:r>
      <w:r w:rsidRPr="003E2DB9">
        <w:rPr>
          <w:rFonts w:ascii="Times New Roman" w:hAnsi="Times New Roman" w:cs="Times New Roman"/>
          <w:sz w:val="24"/>
          <w:szCs w:val="24"/>
        </w:rPr>
        <w:t>0,738</w:t>
      </w:r>
      <w:r w:rsidRPr="005E32FE">
        <w:rPr>
          <w:rFonts w:ascii="Times New Roman" w:hAnsi="Times New Roman" w:cs="Times New Roman"/>
          <w:sz w:val="24"/>
          <w:szCs w:val="24"/>
        </w:rPr>
        <w:t xml:space="preserve"> dan VIF </w:t>
      </w:r>
      <w:r w:rsidRPr="003E2DB9">
        <w:rPr>
          <w:rFonts w:ascii="Times New Roman" w:hAnsi="Times New Roman" w:cs="Times New Roman"/>
          <w:sz w:val="24"/>
          <w:szCs w:val="24"/>
        </w:rPr>
        <w:t>1,356</w:t>
      </w:r>
      <w:r w:rsidRPr="005E32FE">
        <w:rPr>
          <w:rFonts w:ascii="Times New Roman" w:hAnsi="Times New Roman" w:cs="Times New Roman"/>
          <w:sz w:val="24"/>
          <w:szCs w:val="24"/>
        </w:rPr>
        <w:t xml:space="preserve">, sementara Ukuran Perusahaan memiliki Tolerance </w:t>
      </w:r>
      <w:r w:rsidRPr="003E2DB9">
        <w:rPr>
          <w:rFonts w:ascii="Times New Roman" w:hAnsi="Times New Roman" w:cs="Times New Roman"/>
          <w:sz w:val="24"/>
          <w:szCs w:val="24"/>
        </w:rPr>
        <w:t>0,903</w:t>
      </w:r>
      <w:r w:rsidRPr="005E32FE">
        <w:rPr>
          <w:rFonts w:ascii="Times New Roman" w:hAnsi="Times New Roman" w:cs="Times New Roman"/>
          <w:sz w:val="24"/>
          <w:szCs w:val="24"/>
        </w:rPr>
        <w:t xml:space="preserve"> dan </w:t>
      </w:r>
      <w:r w:rsidRPr="003E2DB9">
        <w:rPr>
          <w:rFonts w:ascii="Times New Roman" w:hAnsi="Times New Roman" w:cs="Times New Roman"/>
          <w:sz w:val="24"/>
          <w:szCs w:val="24"/>
        </w:rPr>
        <w:t>VIF 1,107</w:t>
      </w:r>
      <w:r w:rsidRPr="005E32FE">
        <w:rPr>
          <w:rFonts w:ascii="Times New Roman" w:hAnsi="Times New Roman" w:cs="Times New Roman"/>
          <w:sz w:val="24"/>
          <w:szCs w:val="24"/>
        </w:rPr>
        <w:t>. Seluruh nilai VIF pada ketiga variabel berada jauh di bawah batas toleransi 10 dan nilai Tolerance juga di atas 0</w:t>
      </w:r>
      <w:proofErr w:type="gramStart"/>
      <w:r w:rsidRPr="005E32FE">
        <w:rPr>
          <w:rFonts w:ascii="Times New Roman" w:hAnsi="Times New Roman" w:cs="Times New Roman"/>
          <w:sz w:val="24"/>
          <w:szCs w:val="24"/>
        </w:rPr>
        <w:t>,10</w:t>
      </w:r>
      <w:proofErr w:type="gramEnd"/>
      <w:r w:rsidRPr="005E32FE">
        <w:rPr>
          <w:rFonts w:ascii="Times New Roman" w:hAnsi="Times New Roman" w:cs="Times New Roman"/>
          <w:sz w:val="24"/>
          <w:szCs w:val="24"/>
        </w:rPr>
        <w:t xml:space="preserve">, yang berarti tidak ditemukan adanya indikasi multikolinearitas dalam model regresi ini. </w:t>
      </w:r>
    </w:p>
    <w:p w:rsidR="00A5167D" w:rsidRDefault="00A5167D" w:rsidP="00A5167D">
      <w:pPr>
        <w:pStyle w:val="Heading4"/>
      </w:pPr>
      <w:r>
        <w:t>4.2.2.3 Uji Autokorelasi</w:t>
      </w:r>
    </w:p>
    <w:p w:rsidR="00A5167D" w:rsidRDefault="00A5167D" w:rsidP="00A5167D">
      <w:pPr>
        <w:spacing w:line="480" w:lineRule="auto"/>
        <w:jc w:val="both"/>
        <w:rPr>
          <w:rFonts w:ascii="Times New Roman" w:hAnsi="Times New Roman" w:cs="Times New Roman"/>
          <w:sz w:val="24"/>
          <w:szCs w:val="24"/>
        </w:rPr>
      </w:pPr>
      <w:r>
        <w:tab/>
      </w:r>
      <w:r w:rsidRPr="003A0861">
        <w:rPr>
          <w:rFonts w:ascii="Times New Roman" w:hAnsi="Times New Roman" w:cs="Times New Roman"/>
          <w:sz w:val="24"/>
          <w:szCs w:val="24"/>
        </w:rPr>
        <w:t xml:space="preserve">Uji autokorelasi untuk mengetahui apakah terdapat hubungan atau pola tertentu antara residual pada satu observasi dengan residual pada observasi lainnya dalam data deret waktu. </w:t>
      </w:r>
      <w:proofErr w:type="gramStart"/>
      <w:r w:rsidRPr="003A0861">
        <w:rPr>
          <w:rFonts w:ascii="Times New Roman" w:hAnsi="Times New Roman" w:cs="Times New Roman"/>
          <w:sz w:val="24"/>
          <w:szCs w:val="24"/>
        </w:rPr>
        <w:t>Uji autokorelasi sangat penting karena keberadaannya dapat menyebabkan estimasi regresi menjadi tidak efisien.</w:t>
      </w:r>
      <w:proofErr w:type="gramEnd"/>
      <w:r w:rsidRPr="003A0861">
        <w:rPr>
          <w:rFonts w:ascii="Times New Roman" w:hAnsi="Times New Roman" w:cs="Times New Roman"/>
          <w:sz w:val="24"/>
          <w:szCs w:val="24"/>
        </w:rPr>
        <w:t xml:space="preserve"> Salah satu metode yang digunakan untuk mendeteksi autokorelasi adalah uji Durbin-Watson seperti tab</w:t>
      </w:r>
      <w:r>
        <w:rPr>
          <w:rFonts w:ascii="Times New Roman" w:hAnsi="Times New Roman" w:cs="Times New Roman"/>
          <w:sz w:val="24"/>
          <w:szCs w:val="24"/>
        </w:rPr>
        <w:t xml:space="preserve">el </w:t>
      </w:r>
      <w:r w:rsidRPr="003A0861">
        <w:rPr>
          <w:rFonts w:ascii="Times New Roman" w:hAnsi="Times New Roman" w:cs="Times New Roman"/>
          <w:sz w:val="24"/>
          <w:szCs w:val="24"/>
        </w:rPr>
        <w:t>dibawah ini:</w:t>
      </w:r>
    </w:p>
    <w:p w:rsidR="00A5167D" w:rsidRDefault="00A5167D" w:rsidP="00A5167D">
      <w:pPr>
        <w:pStyle w:val="Caption"/>
        <w:jc w:val="center"/>
        <w:rPr>
          <w:rFonts w:ascii="Times New Roman" w:hAnsi="Times New Roman" w:cs="Times New Roman"/>
          <w:b/>
          <w:bCs/>
          <w:i w:val="0"/>
          <w:iCs w:val="0"/>
          <w:color w:val="auto"/>
          <w:sz w:val="24"/>
          <w:szCs w:val="24"/>
        </w:rPr>
      </w:pPr>
      <w:bookmarkStart w:id="22" w:name="_Toc202720440"/>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t xml:space="preserve"> </w:t>
      </w:r>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Hasil Uji Autokorelasi</w:t>
      </w:r>
      <w:bookmarkEnd w:id="22"/>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34"/>
        <w:gridCol w:w="1134"/>
        <w:gridCol w:w="1418"/>
        <w:gridCol w:w="1842"/>
        <w:gridCol w:w="1843"/>
      </w:tblGrid>
      <w:tr w:rsidR="00A5167D" w:rsidRPr="00D146E8" w:rsidTr="00471759">
        <w:trPr>
          <w:cantSplit/>
          <w:trHeight w:val="412"/>
        </w:trPr>
        <w:tc>
          <w:tcPr>
            <w:tcW w:w="8080" w:type="dxa"/>
            <w:gridSpan w:val="6"/>
            <w:shd w:val="clear" w:color="auto" w:fill="FFFFFF"/>
            <w:vAlign w:val="center"/>
          </w:tcPr>
          <w:p w:rsidR="00A5167D" w:rsidRPr="00D146E8" w:rsidRDefault="00A5167D" w:rsidP="00471759">
            <w:pPr>
              <w:jc w:val="center"/>
            </w:pPr>
            <w:r w:rsidRPr="00D146E8">
              <w:rPr>
                <w:b/>
                <w:bCs/>
              </w:rPr>
              <w:t>Model Summary</w:t>
            </w:r>
            <w:r w:rsidRPr="00D146E8">
              <w:rPr>
                <w:b/>
                <w:bCs/>
                <w:vertAlign w:val="superscript"/>
              </w:rPr>
              <w:t>b</w:t>
            </w:r>
          </w:p>
        </w:tc>
      </w:tr>
      <w:tr w:rsidR="00A5167D" w:rsidRPr="00D146E8" w:rsidTr="00471759">
        <w:trPr>
          <w:cantSplit/>
          <w:trHeight w:val="499"/>
        </w:trPr>
        <w:tc>
          <w:tcPr>
            <w:tcW w:w="709" w:type="dxa"/>
            <w:vMerge w:val="restart"/>
            <w:shd w:val="clear" w:color="auto" w:fill="FFFFFF"/>
            <w:vAlign w:val="bottom"/>
          </w:tcPr>
          <w:p w:rsidR="00A5167D" w:rsidRPr="00D146E8" w:rsidRDefault="00A5167D" w:rsidP="00471759">
            <w:pPr>
              <w:jc w:val="center"/>
            </w:pPr>
            <w:r w:rsidRPr="00D146E8">
              <w:t>Model</w:t>
            </w:r>
          </w:p>
        </w:tc>
        <w:tc>
          <w:tcPr>
            <w:tcW w:w="1134" w:type="dxa"/>
            <w:vMerge w:val="restart"/>
            <w:shd w:val="clear" w:color="auto" w:fill="FFFFFF"/>
            <w:vAlign w:val="bottom"/>
          </w:tcPr>
          <w:p w:rsidR="00A5167D" w:rsidRPr="00D146E8" w:rsidRDefault="00A5167D" w:rsidP="00471759">
            <w:pPr>
              <w:jc w:val="center"/>
            </w:pPr>
            <w:r w:rsidRPr="00D146E8">
              <w:t>R</w:t>
            </w:r>
          </w:p>
        </w:tc>
        <w:tc>
          <w:tcPr>
            <w:tcW w:w="1134" w:type="dxa"/>
            <w:vMerge w:val="restart"/>
            <w:shd w:val="clear" w:color="auto" w:fill="FFFFFF"/>
            <w:vAlign w:val="bottom"/>
          </w:tcPr>
          <w:p w:rsidR="00A5167D" w:rsidRPr="00D146E8" w:rsidRDefault="00A5167D" w:rsidP="00471759">
            <w:pPr>
              <w:jc w:val="center"/>
            </w:pPr>
            <w:r w:rsidRPr="00D146E8">
              <w:t>R Square</w:t>
            </w:r>
          </w:p>
        </w:tc>
        <w:tc>
          <w:tcPr>
            <w:tcW w:w="1418" w:type="dxa"/>
            <w:vMerge w:val="restart"/>
            <w:shd w:val="clear" w:color="auto" w:fill="FFFFFF"/>
            <w:vAlign w:val="bottom"/>
          </w:tcPr>
          <w:p w:rsidR="00A5167D" w:rsidRPr="00D146E8" w:rsidRDefault="00A5167D" w:rsidP="00471759">
            <w:pPr>
              <w:jc w:val="center"/>
            </w:pPr>
            <w:r w:rsidRPr="00D146E8">
              <w:t>Adjusted R Square</w:t>
            </w:r>
          </w:p>
        </w:tc>
        <w:tc>
          <w:tcPr>
            <w:tcW w:w="1842" w:type="dxa"/>
            <w:vMerge w:val="restart"/>
            <w:shd w:val="clear" w:color="auto" w:fill="FFFFFF"/>
            <w:vAlign w:val="bottom"/>
          </w:tcPr>
          <w:p w:rsidR="00A5167D" w:rsidRPr="00D146E8" w:rsidRDefault="00A5167D" w:rsidP="00471759">
            <w:pPr>
              <w:jc w:val="center"/>
            </w:pPr>
            <w:r w:rsidRPr="00D146E8">
              <w:t>Std. Error of the Estimate</w:t>
            </w:r>
          </w:p>
        </w:tc>
        <w:tc>
          <w:tcPr>
            <w:tcW w:w="1843" w:type="dxa"/>
            <w:vMerge w:val="restart"/>
            <w:shd w:val="clear" w:color="auto" w:fill="FFFFFF"/>
            <w:vAlign w:val="bottom"/>
          </w:tcPr>
          <w:p w:rsidR="00A5167D" w:rsidRPr="00D146E8" w:rsidRDefault="00A5167D" w:rsidP="00471759">
            <w:pPr>
              <w:jc w:val="center"/>
            </w:pPr>
            <w:r w:rsidRPr="00D146E8">
              <w:t>Durbin-Watson</w:t>
            </w:r>
          </w:p>
        </w:tc>
      </w:tr>
      <w:tr w:rsidR="00A5167D" w:rsidRPr="00D146E8" w:rsidTr="00471759">
        <w:trPr>
          <w:cantSplit/>
          <w:trHeight w:val="499"/>
        </w:trPr>
        <w:tc>
          <w:tcPr>
            <w:tcW w:w="709" w:type="dxa"/>
            <w:vMerge/>
            <w:shd w:val="clear" w:color="auto" w:fill="FFFFFF"/>
            <w:vAlign w:val="bottom"/>
          </w:tcPr>
          <w:p w:rsidR="00A5167D" w:rsidRPr="00D146E8" w:rsidRDefault="00A5167D" w:rsidP="00471759"/>
        </w:tc>
        <w:tc>
          <w:tcPr>
            <w:tcW w:w="1134" w:type="dxa"/>
            <w:vMerge/>
            <w:shd w:val="clear" w:color="auto" w:fill="FFFFFF"/>
            <w:vAlign w:val="bottom"/>
          </w:tcPr>
          <w:p w:rsidR="00A5167D" w:rsidRPr="00D146E8" w:rsidRDefault="00A5167D" w:rsidP="00471759"/>
        </w:tc>
        <w:tc>
          <w:tcPr>
            <w:tcW w:w="1134" w:type="dxa"/>
            <w:vMerge/>
            <w:shd w:val="clear" w:color="auto" w:fill="FFFFFF"/>
            <w:vAlign w:val="bottom"/>
          </w:tcPr>
          <w:p w:rsidR="00A5167D" w:rsidRPr="00D146E8" w:rsidRDefault="00A5167D" w:rsidP="00471759"/>
        </w:tc>
        <w:tc>
          <w:tcPr>
            <w:tcW w:w="1418" w:type="dxa"/>
            <w:vMerge/>
            <w:shd w:val="clear" w:color="auto" w:fill="FFFFFF"/>
            <w:vAlign w:val="bottom"/>
          </w:tcPr>
          <w:p w:rsidR="00A5167D" w:rsidRPr="00D146E8" w:rsidRDefault="00A5167D" w:rsidP="00471759"/>
        </w:tc>
        <w:tc>
          <w:tcPr>
            <w:tcW w:w="1842" w:type="dxa"/>
            <w:vMerge/>
            <w:shd w:val="clear" w:color="auto" w:fill="FFFFFF"/>
            <w:vAlign w:val="bottom"/>
          </w:tcPr>
          <w:p w:rsidR="00A5167D" w:rsidRPr="00D146E8" w:rsidRDefault="00A5167D" w:rsidP="00471759"/>
        </w:tc>
        <w:tc>
          <w:tcPr>
            <w:tcW w:w="1843" w:type="dxa"/>
            <w:vMerge/>
            <w:shd w:val="clear" w:color="auto" w:fill="FFFFFF"/>
            <w:vAlign w:val="bottom"/>
          </w:tcPr>
          <w:p w:rsidR="00A5167D" w:rsidRPr="00D146E8" w:rsidRDefault="00A5167D" w:rsidP="00471759"/>
        </w:tc>
      </w:tr>
      <w:tr w:rsidR="00A5167D" w:rsidRPr="00D146E8" w:rsidTr="00471759">
        <w:trPr>
          <w:cantSplit/>
          <w:trHeight w:val="400"/>
        </w:trPr>
        <w:tc>
          <w:tcPr>
            <w:tcW w:w="709" w:type="dxa"/>
            <w:shd w:val="clear" w:color="auto" w:fill="auto"/>
          </w:tcPr>
          <w:p w:rsidR="00A5167D" w:rsidRPr="00D146E8" w:rsidRDefault="00A5167D" w:rsidP="00471759">
            <w:pPr>
              <w:jc w:val="center"/>
            </w:pPr>
            <w:r w:rsidRPr="00D146E8">
              <w:t>1</w:t>
            </w:r>
          </w:p>
        </w:tc>
        <w:tc>
          <w:tcPr>
            <w:tcW w:w="1134" w:type="dxa"/>
            <w:shd w:val="clear" w:color="auto" w:fill="FFFFFF"/>
          </w:tcPr>
          <w:p w:rsidR="00A5167D" w:rsidRPr="00D146E8" w:rsidRDefault="00A5167D" w:rsidP="00471759">
            <w:pPr>
              <w:jc w:val="right"/>
            </w:pPr>
            <w:r w:rsidRPr="00D146E8">
              <w:t>.371</w:t>
            </w:r>
            <w:r w:rsidRPr="00D146E8">
              <w:rPr>
                <w:vertAlign w:val="superscript"/>
              </w:rPr>
              <w:t>a</w:t>
            </w:r>
          </w:p>
        </w:tc>
        <w:tc>
          <w:tcPr>
            <w:tcW w:w="1134" w:type="dxa"/>
            <w:shd w:val="clear" w:color="auto" w:fill="FFFFFF"/>
          </w:tcPr>
          <w:p w:rsidR="00A5167D" w:rsidRPr="00D146E8" w:rsidRDefault="00A5167D" w:rsidP="00471759">
            <w:pPr>
              <w:jc w:val="right"/>
            </w:pPr>
            <w:r w:rsidRPr="00D146E8">
              <w:t>.137</w:t>
            </w:r>
          </w:p>
        </w:tc>
        <w:tc>
          <w:tcPr>
            <w:tcW w:w="1418" w:type="dxa"/>
            <w:shd w:val="clear" w:color="auto" w:fill="FFFFFF"/>
          </w:tcPr>
          <w:p w:rsidR="00A5167D" w:rsidRPr="00D146E8" w:rsidRDefault="00A5167D" w:rsidP="00471759">
            <w:pPr>
              <w:jc w:val="right"/>
            </w:pPr>
            <w:r w:rsidRPr="00D146E8">
              <w:t>.101</w:t>
            </w:r>
          </w:p>
        </w:tc>
        <w:tc>
          <w:tcPr>
            <w:tcW w:w="1842" w:type="dxa"/>
            <w:shd w:val="clear" w:color="auto" w:fill="FFFFFF"/>
          </w:tcPr>
          <w:p w:rsidR="00A5167D" w:rsidRPr="00D146E8" w:rsidRDefault="00A5167D" w:rsidP="00471759">
            <w:pPr>
              <w:jc w:val="right"/>
            </w:pPr>
            <w:r w:rsidRPr="00D146E8">
              <w:t>1.57632</w:t>
            </w:r>
          </w:p>
        </w:tc>
        <w:tc>
          <w:tcPr>
            <w:tcW w:w="1843" w:type="dxa"/>
            <w:shd w:val="clear" w:color="auto" w:fill="FFFFFF"/>
          </w:tcPr>
          <w:p w:rsidR="00A5167D" w:rsidRPr="00D146E8" w:rsidRDefault="00A5167D" w:rsidP="00471759">
            <w:pPr>
              <w:jc w:val="right"/>
            </w:pPr>
            <w:r w:rsidRPr="00D146E8">
              <w:t>1.875</w:t>
            </w:r>
          </w:p>
        </w:tc>
      </w:tr>
      <w:tr w:rsidR="00A5167D" w:rsidRPr="00D146E8" w:rsidTr="00471759">
        <w:trPr>
          <w:cantSplit/>
          <w:trHeight w:val="412"/>
        </w:trPr>
        <w:tc>
          <w:tcPr>
            <w:tcW w:w="8080" w:type="dxa"/>
            <w:gridSpan w:val="6"/>
            <w:shd w:val="clear" w:color="auto" w:fill="FFFFFF"/>
          </w:tcPr>
          <w:p w:rsidR="00A5167D" w:rsidRPr="00D146E8" w:rsidRDefault="00A5167D" w:rsidP="00471759">
            <w:r w:rsidRPr="00D146E8">
              <w:t>a. Predictors: (Constant), Ukuran Perusahaan, profitabilitas, Tingkat Utang</w:t>
            </w:r>
          </w:p>
        </w:tc>
      </w:tr>
      <w:tr w:rsidR="00A5167D" w:rsidRPr="00D146E8" w:rsidTr="00471759">
        <w:trPr>
          <w:cantSplit/>
          <w:trHeight w:val="412"/>
        </w:trPr>
        <w:tc>
          <w:tcPr>
            <w:tcW w:w="8080" w:type="dxa"/>
            <w:gridSpan w:val="6"/>
            <w:shd w:val="clear" w:color="auto" w:fill="FFFFFF"/>
          </w:tcPr>
          <w:p w:rsidR="00A5167D" w:rsidRPr="00D146E8" w:rsidRDefault="00A5167D" w:rsidP="00471759">
            <w:r w:rsidRPr="00D146E8">
              <w:t>b. Dependent Variable: Penghindaran Pajak</w:t>
            </w:r>
          </w:p>
        </w:tc>
      </w:tr>
    </w:tbl>
    <w:p w:rsidR="00A5167D" w:rsidRPr="00A5167D" w:rsidRDefault="00A5167D" w:rsidP="00A5167D">
      <w:pPr>
        <w:spacing w:line="480" w:lineRule="auto"/>
        <w:jc w:val="both"/>
        <w:rPr>
          <w:rFonts w:ascii="Times New Roman" w:hAnsi="Times New Roman" w:cs="Times New Roman"/>
          <w:sz w:val="24"/>
          <w:szCs w:val="24"/>
          <w:lang w:val="id-ID"/>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Default="00A5167D" w:rsidP="00A5167D">
      <w:pPr>
        <w:spacing w:line="480" w:lineRule="auto"/>
        <w:ind w:firstLine="720"/>
        <w:jc w:val="both"/>
        <w:rPr>
          <w:rFonts w:ascii="Times New Roman" w:hAnsi="Times New Roman" w:cs="Times New Roman"/>
          <w:sz w:val="24"/>
          <w:szCs w:val="24"/>
        </w:rPr>
      </w:pPr>
      <w:r w:rsidRPr="00FB31BA">
        <w:rPr>
          <w:rFonts w:ascii="Times New Roman" w:hAnsi="Times New Roman" w:cs="Times New Roman"/>
          <w:sz w:val="24"/>
          <w:szCs w:val="24"/>
        </w:rPr>
        <w:t xml:space="preserve">Berdasarkan output pada tabel </w:t>
      </w:r>
      <w:r w:rsidRPr="00FB31BA">
        <w:rPr>
          <w:rFonts w:ascii="Times New Roman" w:hAnsi="Times New Roman" w:cs="Times New Roman"/>
          <w:i/>
          <w:iCs/>
          <w:sz w:val="24"/>
          <w:szCs w:val="24"/>
        </w:rPr>
        <w:t>Model Summary</w:t>
      </w:r>
      <w:r w:rsidRPr="00FB31BA">
        <w:rPr>
          <w:rFonts w:ascii="Times New Roman" w:hAnsi="Times New Roman" w:cs="Times New Roman"/>
          <w:sz w:val="24"/>
          <w:szCs w:val="24"/>
        </w:rPr>
        <w:t xml:space="preserve">, uji autokorelasi dalam penelitian ini menggunakan metode Durbin-Watson, di mana nilai yang dihasilkan sebesar 1,875. </w:t>
      </w:r>
      <w:proofErr w:type="gramStart"/>
      <w:r w:rsidRPr="00FB31BA">
        <w:rPr>
          <w:rFonts w:ascii="Times New Roman" w:hAnsi="Times New Roman" w:cs="Times New Roman"/>
          <w:sz w:val="24"/>
          <w:szCs w:val="24"/>
        </w:rPr>
        <w:t>Nilai ini berada cukup dekat dengan angka 2.</w:t>
      </w:r>
      <w:proofErr w:type="gramEnd"/>
      <w:r w:rsidRPr="00FB31BA">
        <w:rPr>
          <w:rFonts w:ascii="Times New Roman" w:hAnsi="Times New Roman" w:cs="Times New Roman"/>
          <w:sz w:val="24"/>
          <w:szCs w:val="24"/>
        </w:rPr>
        <w:t xml:space="preserve"> </w:t>
      </w:r>
      <w:proofErr w:type="gramStart"/>
      <w:r w:rsidRPr="00FB31BA">
        <w:rPr>
          <w:rFonts w:ascii="Times New Roman" w:hAnsi="Times New Roman" w:cs="Times New Roman"/>
          <w:sz w:val="24"/>
          <w:szCs w:val="24"/>
        </w:rPr>
        <w:t>Hal ini menunjukkan bahwa model regresi tidak mengandung autokorelasi, atau lebih tepatnya tidak terdapat korelasi yang signifikan antara residual satu dengan residual lainnya.</w:t>
      </w:r>
      <w:proofErr w:type="gramEnd"/>
      <w:r w:rsidRPr="00FB31BA">
        <w:rPr>
          <w:rFonts w:ascii="Times New Roman" w:hAnsi="Times New Roman" w:cs="Times New Roman"/>
          <w:sz w:val="24"/>
          <w:szCs w:val="24"/>
        </w:rPr>
        <w:t xml:space="preserve"> </w:t>
      </w:r>
      <w:proofErr w:type="gramStart"/>
      <w:r w:rsidRPr="00FB31BA">
        <w:rPr>
          <w:rFonts w:ascii="Times New Roman" w:hAnsi="Times New Roman" w:cs="Times New Roman"/>
          <w:sz w:val="24"/>
          <w:szCs w:val="24"/>
        </w:rPr>
        <w:t xml:space="preserve">Artinya, asumsi klasik mengenai independensi residual </w:t>
      </w:r>
      <w:r w:rsidRPr="00FB31BA">
        <w:rPr>
          <w:rFonts w:ascii="Times New Roman" w:hAnsi="Times New Roman" w:cs="Times New Roman"/>
          <w:sz w:val="24"/>
          <w:szCs w:val="24"/>
        </w:rPr>
        <w:lastRenderedPageBreak/>
        <w:t>terpenuhi, yang menjadi syarat penting dalam regresi linear klasik agar hasil estimasi tidak bias dan dapat diandalkan.</w:t>
      </w:r>
      <w:proofErr w:type="gramEnd"/>
    </w:p>
    <w:p w:rsidR="00A5167D" w:rsidRDefault="00A5167D" w:rsidP="00A5167D">
      <w:pPr>
        <w:pStyle w:val="Heading4"/>
      </w:pPr>
      <w:r>
        <w:t>4.2.2.4 Uji Heteroskedastisitas</w:t>
      </w:r>
    </w:p>
    <w:p w:rsidR="00A5167D" w:rsidRDefault="00A5167D" w:rsidP="00A5167D">
      <w:pPr>
        <w:spacing w:line="480" w:lineRule="auto"/>
        <w:jc w:val="both"/>
        <w:rPr>
          <w:rFonts w:ascii="Times New Roman" w:hAnsi="Times New Roman" w:cs="Times New Roman"/>
          <w:sz w:val="24"/>
          <w:szCs w:val="24"/>
        </w:rPr>
      </w:pPr>
      <w:r>
        <w:tab/>
      </w:r>
      <w:proofErr w:type="gramStart"/>
      <w:r w:rsidRPr="00E116F1">
        <w:rPr>
          <w:rFonts w:ascii="Times New Roman" w:hAnsi="Times New Roman" w:cs="Times New Roman"/>
          <w:sz w:val="24"/>
          <w:szCs w:val="24"/>
        </w:rPr>
        <w:t>Uji ini bertujuan untuk mendeteksi adanya perbedaan varians residual antar satu observasi dengan observasi lainnya dalam model regresi (Ghozali, 2021).</w:t>
      </w:r>
      <w:proofErr w:type="gramEnd"/>
      <w:r w:rsidRPr="00E116F1">
        <w:rPr>
          <w:rFonts w:ascii="Times New Roman" w:hAnsi="Times New Roman" w:cs="Times New Roman"/>
          <w:sz w:val="24"/>
          <w:szCs w:val="24"/>
        </w:rPr>
        <w:t xml:space="preserve"> Untuk mengidentifikasi ada tidaknya gejala heteroskedastisitas dalam penelitian ini, digunakan grafik scatterplot sebagai alat </w:t>
      </w:r>
      <w:proofErr w:type="gramStart"/>
      <w:r w:rsidRPr="00E116F1">
        <w:rPr>
          <w:rFonts w:ascii="Times New Roman" w:hAnsi="Times New Roman" w:cs="Times New Roman"/>
          <w:sz w:val="24"/>
          <w:szCs w:val="24"/>
        </w:rPr>
        <w:t>bantu</w:t>
      </w:r>
      <w:proofErr w:type="gramEnd"/>
      <w:r w:rsidRPr="00E116F1">
        <w:rPr>
          <w:rFonts w:ascii="Times New Roman" w:hAnsi="Times New Roman" w:cs="Times New Roman"/>
          <w:sz w:val="24"/>
          <w:szCs w:val="24"/>
        </w:rPr>
        <w:t xml:space="preserve"> visual. Grafik scatterplot yang menampilkan hasil uji heteroskedastisitas ditunjukkan pada gambar berikut</w:t>
      </w:r>
      <w:r>
        <w:rPr>
          <w:rFonts w:ascii="Times New Roman" w:hAnsi="Times New Roman" w:cs="Times New Roman"/>
          <w:sz w:val="24"/>
          <w:szCs w:val="24"/>
        </w:rPr>
        <w:t>:</w:t>
      </w:r>
    </w:p>
    <w:p w:rsidR="00A5167D" w:rsidRDefault="00A5167D" w:rsidP="00A5167D">
      <w:pPr>
        <w:pStyle w:val="Caption"/>
        <w:jc w:val="center"/>
        <w:rPr>
          <w:rFonts w:ascii="Times New Roman" w:hAnsi="Times New Roman" w:cs="Times New Roman"/>
          <w:b/>
          <w:bCs/>
          <w:i w:val="0"/>
          <w:iCs w:val="0"/>
          <w:color w:val="auto"/>
          <w:sz w:val="24"/>
          <w:szCs w:val="24"/>
        </w:rPr>
      </w:pPr>
      <w:bookmarkStart w:id="23" w:name="_Toc202722345"/>
      <w:proofErr w:type="gramStart"/>
      <w:r w:rsidRPr="0079022F">
        <w:rPr>
          <w:rFonts w:ascii="Times New Roman" w:hAnsi="Times New Roman" w:cs="Times New Roman"/>
          <w:b/>
          <w:bCs/>
          <w:i w:val="0"/>
          <w:iCs w:val="0"/>
          <w:color w:val="auto"/>
          <w:sz w:val="24"/>
          <w:szCs w:val="24"/>
        </w:rPr>
        <w:t>Gambar 4.</w:t>
      </w:r>
      <w:proofErr w:type="gramEnd"/>
      <w:r w:rsidRPr="0079022F">
        <w:rPr>
          <w:rFonts w:ascii="Times New Roman" w:hAnsi="Times New Roman" w:cs="Times New Roman"/>
          <w:b/>
          <w:bCs/>
          <w:i w:val="0"/>
          <w:iCs w:val="0"/>
          <w:color w:val="auto"/>
          <w:sz w:val="24"/>
          <w:szCs w:val="24"/>
        </w:rPr>
        <w:t xml:space="preserve"> </w:t>
      </w:r>
      <w:r w:rsidRPr="0079022F">
        <w:rPr>
          <w:rFonts w:ascii="Times New Roman" w:hAnsi="Times New Roman" w:cs="Times New Roman"/>
          <w:b/>
          <w:bCs/>
          <w:i w:val="0"/>
          <w:iCs w:val="0"/>
          <w:color w:val="auto"/>
          <w:sz w:val="24"/>
          <w:szCs w:val="24"/>
        </w:rPr>
        <w:fldChar w:fldCharType="begin"/>
      </w:r>
      <w:r w:rsidRPr="0079022F">
        <w:rPr>
          <w:rFonts w:ascii="Times New Roman" w:hAnsi="Times New Roman" w:cs="Times New Roman"/>
          <w:b/>
          <w:bCs/>
          <w:i w:val="0"/>
          <w:iCs w:val="0"/>
          <w:color w:val="auto"/>
          <w:sz w:val="24"/>
          <w:szCs w:val="24"/>
        </w:rPr>
        <w:instrText xml:space="preserve"> SEQ Gambar_4. \* ARABIC </w:instrText>
      </w:r>
      <w:r w:rsidRPr="0079022F">
        <w:rPr>
          <w:rFonts w:ascii="Times New Roman" w:hAnsi="Times New Roman" w:cs="Times New Roman"/>
          <w:b/>
          <w:bCs/>
          <w:i w:val="0"/>
          <w:iCs w:val="0"/>
          <w:color w:val="auto"/>
          <w:sz w:val="24"/>
          <w:szCs w:val="24"/>
        </w:rPr>
        <w:fldChar w:fldCharType="separate"/>
      </w:r>
      <w:r w:rsidRPr="0079022F">
        <w:rPr>
          <w:rFonts w:ascii="Times New Roman" w:hAnsi="Times New Roman" w:cs="Times New Roman"/>
          <w:b/>
          <w:bCs/>
          <w:i w:val="0"/>
          <w:iCs w:val="0"/>
          <w:noProof/>
          <w:color w:val="auto"/>
          <w:sz w:val="24"/>
          <w:szCs w:val="24"/>
        </w:rPr>
        <w:t>2</w:t>
      </w:r>
      <w:r w:rsidRPr="0079022F">
        <w:rPr>
          <w:rFonts w:ascii="Times New Roman" w:hAnsi="Times New Roman" w:cs="Times New Roman"/>
          <w:b/>
          <w:bCs/>
          <w:i w:val="0"/>
          <w:iCs w:val="0"/>
          <w:color w:val="auto"/>
          <w:sz w:val="24"/>
          <w:szCs w:val="24"/>
        </w:rPr>
        <w:fldChar w:fldCharType="end"/>
      </w:r>
      <w:r w:rsidRPr="0079022F">
        <w:rPr>
          <w:rFonts w:ascii="Times New Roman" w:hAnsi="Times New Roman" w:cs="Times New Roman"/>
          <w:b/>
          <w:bCs/>
          <w:i w:val="0"/>
          <w:iCs w:val="0"/>
          <w:color w:val="auto"/>
          <w:sz w:val="24"/>
          <w:szCs w:val="24"/>
        </w:rPr>
        <w:t xml:space="preserve"> </w:t>
      </w:r>
    </w:p>
    <w:p w:rsidR="00A5167D" w:rsidRPr="0079022F" w:rsidRDefault="00A5167D" w:rsidP="00A5167D">
      <w:pPr>
        <w:pStyle w:val="Caption"/>
        <w:jc w:val="center"/>
        <w:rPr>
          <w:rFonts w:ascii="Times New Roman" w:hAnsi="Times New Roman" w:cs="Times New Roman"/>
          <w:b/>
          <w:bCs/>
          <w:i w:val="0"/>
          <w:iCs w:val="0"/>
          <w:color w:val="auto"/>
          <w:sz w:val="24"/>
          <w:szCs w:val="24"/>
        </w:rPr>
      </w:pPr>
      <w:r w:rsidRPr="0079022F">
        <w:rPr>
          <w:rFonts w:ascii="Times New Roman" w:hAnsi="Times New Roman" w:cs="Times New Roman"/>
          <w:b/>
          <w:bCs/>
          <w:i w:val="0"/>
          <w:iCs w:val="0"/>
          <w:color w:val="auto"/>
          <w:sz w:val="24"/>
          <w:szCs w:val="24"/>
        </w:rPr>
        <w:t>Grafik Scatterplot</w:t>
      </w:r>
      <w:bookmarkEnd w:id="23"/>
    </w:p>
    <w:p w:rsidR="00A5167D" w:rsidRPr="00E116F1" w:rsidRDefault="00A5167D" w:rsidP="00A5167D">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bidi="ar-SA"/>
        </w:rPr>
        <w:drawing>
          <wp:inline distT="0" distB="0" distL="0" distR="0" wp14:anchorId="0B2F1362" wp14:editId="28074B6E">
            <wp:extent cx="4317558" cy="2375010"/>
            <wp:effectExtent l="0" t="0" r="698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33187" cy="2383607"/>
                    </a:xfrm>
                    <a:prstGeom prst="rect">
                      <a:avLst/>
                    </a:prstGeom>
                  </pic:spPr>
                </pic:pic>
              </a:graphicData>
            </a:graphic>
          </wp:inline>
        </w:drawing>
      </w:r>
    </w:p>
    <w:p w:rsidR="00A5167D" w:rsidRDefault="00A5167D" w:rsidP="00A5167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AA7A4E">
        <w:rPr>
          <w:rFonts w:ascii="Times New Roman" w:hAnsi="Times New Roman" w:cs="Times New Roman"/>
          <w:sz w:val="24"/>
          <w:szCs w:val="24"/>
        </w:rPr>
        <w:t xml:space="preserve">Gambar di atas menunjukkan hasil uji heteroskedastisitas menggunakan metode scatterplot antara </w:t>
      </w:r>
      <w:r w:rsidRPr="00AA7A4E">
        <w:rPr>
          <w:rFonts w:ascii="Times New Roman" w:hAnsi="Times New Roman" w:cs="Times New Roman"/>
          <w:i/>
          <w:iCs/>
          <w:sz w:val="24"/>
          <w:szCs w:val="24"/>
        </w:rPr>
        <w:t>Regression Standardized Predicted Value</w:t>
      </w:r>
      <w:r w:rsidRPr="00AA7A4E">
        <w:rPr>
          <w:rFonts w:ascii="Times New Roman" w:hAnsi="Times New Roman" w:cs="Times New Roman"/>
          <w:sz w:val="24"/>
          <w:szCs w:val="24"/>
        </w:rPr>
        <w:t xml:space="preserve"> (nilai prediksi) dengan </w:t>
      </w:r>
      <w:r w:rsidRPr="00AA7A4E">
        <w:rPr>
          <w:rFonts w:ascii="Times New Roman" w:hAnsi="Times New Roman" w:cs="Times New Roman"/>
          <w:i/>
          <w:iCs/>
          <w:sz w:val="24"/>
          <w:szCs w:val="24"/>
        </w:rPr>
        <w:t>Regression Studentized Residual</w:t>
      </w:r>
      <w:r w:rsidRPr="00AA7A4E">
        <w:rPr>
          <w:rFonts w:ascii="Times New Roman" w:hAnsi="Times New Roman" w:cs="Times New Roman"/>
          <w:sz w:val="24"/>
          <w:szCs w:val="24"/>
        </w:rPr>
        <w:t xml:space="preserve"> (residual yang telah distandarisasi).</w:t>
      </w:r>
      <w:proofErr w:type="gramEnd"/>
      <w:r w:rsidRPr="00AA7A4E">
        <w:rPr>
          <w:rFonts w:ascii="Times New Roman" w:hAnsi="Times New Roman" w:cs="Times New Roman"/>
          <w:sz w:val="24"/>
          <w:szCs w:val="24"/>
        </w:rPr>
        <w:t xml:space="preserve"> </w:t>
      </w:r>
      <w:proofErr w:type="gramStart"/>
      <w:r w:rsidRPr="00AA7A4E">
        <w:rPr>
          <w:rFonts w:ascii="Times New Roman" w:hAnsi="Times New Roman" w:cs="Times New Roman"/>
          <w:sz w:val="24"/>
          <w:szCs w:val="24"/>
        </w:rPr>
        <w:t>Berdasarkan tampilan grafik scatterplot tersebut, titik-titik data tersebar secara acak dan tidak membentuk pola tertentu seperti mengerucut, melebar, atau membentuk kurva.</w:t>
      </w:r>
      <w:proofErr w:type="gramEnd"/>
      <w:r w:rsidRPr="00AA7A4E">
        <w:rPr>
          <w:rFonts w:ascii="Times New Roman" w:hAnsi="Times New Roman" w:cs="Times New Roman"/>
          <w:sz w:val="24"/>
          <w:szCs w:val="24"/>
        </w:rPr>
        <w:t xml:space="preserve"> </w:t>
      </w:r>
      <w:proofErr w:type="gramStart"/>
      <w:r w:rsidRPr="00AA7A4E">
        <w:rPr>
          <w:rFonts w:ascii="Times New Roman" w:hAnsi="Times New Roman" w:cs="Times New Roman"/>
          <w:sz w:val="24"/>
          <w:szCs w:val="24"/>
        </w:rPr>
        <w:t>Pola seperti garis lurus atau bentuk tertentu seperti kipas dapat mengindikasikan adanya heteroskedastisitas.</w:t>
      </w:r>
      <w:proofErr w:type="gramEnd"/>
      <w:r w:rsidRPr="00AA7A4E">
        <w:rPr>
          <w:rFonts w:ascii="Times New Roman" w:hAnsi="Times New Roman" w:cs="Times New Roman"/>
          <w:sz w:val="24"/>
          <w:szCs w:val="24"/>
        </w:rPr>
        <w:t xml:space="preserve"> </w:t>
      </w:r>
      <w:proofErr w:type="gramStart"/>
      <w:r w:rsidRPr="00AA7A4E">
        <w:rPr>
          <w:rFonts w:ascii="Times New Roman" w:hAnsi="Times New Roman" w:cs="Times New Roman"/>
          <w:sz w:val="24"/>
          <w:szCs w:val="24"/>
        </w:rPr>
        <w:t xml:space="preserve">Namun dalam grafik ini, penyebaran titik-titik tampak merata di sekitar sumbu horizontal nol, baik di atas maupun </w:t>
      </w:r>
      <w:r w:rsidRPr="00AA7A4E">
        <w:rPr>
          <w:rFonts w:ascii="Times New Roman" w:hAnsi="Times New Roman" w:cs="Times New Roman"/>
          <w:sz w:val="24"/>
          <w:szCs w:val="24"/>
        </w:rPr>
        <w:lastRenderedPageBreak/>
        <w:t>di bawah sumbu tersebut.</w:t>
      </w:r>
      <w:proofErr w:type="gramEnd"/>
      <w:r w:rsidRPr="00AA7A4E">
        <w:rPr>
          <w:rFonts w:ascii="Times New Roman" w:hAnsi="Times New Roman" w:cs="Times New Roman"/>
          <w:sz w:val="24"/>
          <w:szCs w:val="24"/>
        </w:rPr>
        <w:t xml:space="preserve"> </w:t>
      </w:r>
      <w:proofErr w:type="gramStart"/>
      <w:r w:rsidRPr="00AA7A4E">
        <w:rPr>
          <w:rFonts w:ascii="Times New Roman" w:hAnsi="Times New Roman" w:cs="Times New Roman"/>
          <w:sz w:val="24"/>
          <w:szCs w:val="24"/>
        </w:rPr>
        <w:t>Hal ini menunjukkan bahwa varians residual cenderung konstan, sehingga tidak ditemukan adanya gejala heteroskedastisitas.</w:t>
      </w:r>
      <w:proofErr w:type="gramEnd"/>
    </w:p>
    <w:p w:rsidR="00A5167D" w:rsidRDefault="00A5167D" w:rsidP="00A5167D">
      <w:pPr>
        <w:pStyle w:val="Heading4"/>
      </w:pPr>
      <w:r>
        <w:t>4.2.3 Uji Regresi Linear Berganda</w:t>
      </w:r>
    </w:p>
    <w:p w:rsidR="00A5167D" w:rsidRPr="00A5167D" w:rsidRDefault="00A5167D" w:rsidP="00A5167D">
      <w:pPr>
        <w:spacing w:line="480" w:lineRule="auto"/>
        <w:ind w:firstLine="720"/>
        <w:jc w:val="both"/>
        <w:rPr>
          <w:rFonts w:ascii="Times New Roman" w:hAnsi="Times New Roman" w:cs="Times New Roman"/>
          <w:sz w:val="24"/>
          <w:szCs w:val="24"/>
          <w:lang w:val="id-ID"/>
        </w:rPr>
      </w:pPr>
      <w:proofErr w:type="gramStart"/>
      <w:r w:rsidRPr="007438A0">
        <w:rPr>
          <w:rFonts w:ascii="Times New Roman" w:hAnsi="Times New Roman" w:cs="Times New Roman"/>
          <w:sz w:val="24"/>
          <w:szCs w:val="24"/>
        </w:rPr>
        <w:t>Regresi linier berganda merupakan teknik analisis statistik yang digunakan untuk menganalisis hubungan antara satu variabel dependen dengan dua atau lebih variabel independen secara bersamaan (Lind et al., 2021).</w:t>
      </w:r>
      <w:proofErr w:type="gramEnd"/>
      <w:r w:rsidRPr="007438A0">
        <w:rPr>
          <w:rFonts w:ascii="Times New Roman" w:hAnsi="Times New Roman" w:cs="Times New Roman"/>
          <w:sz w:val="24"/>
          <w:szCs w:val="24"/>
        </w:rPr>
        <w:t xml:space="preserve"> </w:t>
      </w:r>
      <w:proofErr w:type="gramStart"/>
      <w:r w:rsidRPr="007438A0">
        <w:rPr>
          <w:rFonts w:ascii="Times New Roman" w:hAnsi="Times New Roman" w:cs="Times New Roman"/>
          <w:sz w:val="24"/>
          <w:szCs w:val="24"/>
        </w:rPr>
        <w:t>Metode ini memungkinkan peneliti untuk menilai sejauh mana variabel bebas memengaruhi variabel terikat dan memberikan dasar dalam meramalkan nilai variabel dependen berdasarkan kombinasi nilai dari variabel-variabel independen.</w:t>
      </w:r>
      <w:proofErr w:type="gramEnd"/>
    </w:p>
    <w:p w:rsidR="00A5167D" w:rsidRDefault="00A5167D" w:rsidP="00A5167D">
      <w:pPr>
        <w:pStyle w:val="Caption"/>
        <w:jc w:val="center"/>
        <w:rPr>
          <w:rFonts w:ascii="Times New Roman" w:hAnsi="Times New Roman" w:cs="Times New Roman"/>
          <w:b/>
          <w:bCs/>
          <w:i w:val="0"/>
          <w:iCs w:val="0"/>
          <w:color w:val="auto"/>
          <w:sz w:val="24"/>
          <w:szCs w:val="24"/>
        </w:rPr>
      </w:pPr>
      <w:bookmarkStart w:id="24" w:name="_Toc202720441"/>
      <w:proofErr w:type="gramStart"/>
      <w:r w:rsidRPr="00DB3E38">
        <w:rPr>
          <w:rFonts w:ascii="Times New Roman" w:hAnsi="Times New Roman" w:cs="Times New Roman"/>
          <w:b/>
          <w:bCs/>
          <w:i w:val="0"/>
          <w:iCs w:val="0"/>
          <w:color w:val="auto"/>
          <w:sz w:val="24"/>
          <w:szCs w:val="24"/>
        </w:rPr>
        <w:t>Tabel 4.</w:t>
      </w:r>
      <w:proofErr w:type="gramEnd"/>
      <w:r w:rsidRPr="00DB3E38">
        <w:rPr>
          <w:rFonts w:ascii="Times New Roman" w:hAnsi="Times New Roman" w:cs="Times New Roman"/>
          <w:b/>
          <w:bCs/>
          <w:i w:val="0"/>
          <w:iCs w:val="0"/>
          <w:color w:val="auto"/>
          <w:sz w:val="24"/>
          <w:szCs w:val="24"/>
        </w:rPr>
        <w:t xml:space="preserve"> </w:t>
      </w:r>
      <w:r w:rsidRPr="00DB3E38">
        <w:rPr>
          <w:rFonts w:ascii="Times New Roman" w:hAnsi="Times New Roman" w:cs="Times New Roman"/>
          <w:b/>
          <w:bCs/>
          <w:i w:val="0"/>
          <w:iCs w:val="0"/>
          <w:color w:val="auto"/>
          <w:sz w:val="24"/>
          <w:szCs w:val="24"/>
        </w:rPr>
        <w:fldChar w:fldCharType="begin"/>
      </w:r>
      <w:r w:rsidRPr="00DB3E38">
        <w:rPr>
          <w:rFonts w:ascii="Times New Roman" w:hAnsi="Times New Roman" w:cs="Times New Roman"/>
          <w:b/>
          <w:bCs/>
          <w:i w:val="0"/>
          <w:iCs w:val="0"/>
          <w:color w:val="auto"/>
          <w:sz w:val="24"/>
          <w:szCs w:val="24"/>
        </w:rPr>
        <w:instrText xml:space="preserve"> SEQ Tabel_4. \* ARABIC </w:instrText>
      </w:r>
      <w:r w:rsidRPr="00DB3E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DB3E38">
        <w:rPr>
          <w:rFonts w:ascii="Times New Roman" w:hAnsi="Times New Roman" w:cs="Times New Roman"/>
          <w:b/>
          <w:bCs/>
          <w:i w:val="0"/>
          <w:iCs w:val="0"/>
          <w:color w:val="auto"/>
          <w:sz w:val="24"/>
          <w:szCs w:val="24"/>
        </w:rPr>
        <w:fldChar w:fldCharType="end"/>
      </w:r>
      <w:r w:rsidRPr="00DB3E38">
        <w:rPr>
          <w:rFonts w:ascii="Times New Roman" w:hAnsi="Times New Roman" w:cs="Times New Roman"/>
          <w:b/>
          <w:bCs/>
          <w:i w:val="0"/>
          <w:iCs w:val="0"/>
          <w:color w:val="auto"/>
          <w:sz w:val="24"/>
          <w:szCs w:val="24"/>
        </w:rPr>
        <w:t xml:space="preserve"> </w:t>
      </w:r>
    </w:p>
    <w:p w:rsidR="00A5167D" w:rsidRPr="00DB3E38" w:rsidRDefault="00A5167D" w:rsidP="00A5167D">
      <w:pPr>
        <w:pStyle w:val="Caption"/>
        <w:jc w:val="center"/>
        <w:rPr>
          <w:rFonts w:ascii="Times New Roman" w:hAnsi="Times New Roman" w:cs="Times New Roman"/>
          <w:b/>
          <w:bCs/>
          <w:i w:val="0"/>
          <w:iCs w:val="0"/>
          <w:color w:val="auto"/>
          <w:sz w:val="24"/>
          <w:szCs w:val="24"/>
        </w:rPr>
      </w:pPr>
      <w:r w:rsidRPr="00DB3E38">
        <w:rPr>
          <w:rFonts w:ascii="Times New Roman" w:hAnsi="Times New Roman" w:cs="Times New Roman"/>
          <w:b/>
          <w:bCs/>
          <w:i w:val="0"/>
          <w:iCs w:val="0"/>
          <w:color w:val="auto"/>
          <w:sz w:val="24"/>
          <w:szCs w:val="24"/>
        </w:rPr>
        <w:t>Hasil Analisis Regresi Linear Berganda</w:t>
      </w:r>
      <w:bookmarkEnd w:id="24"/>
    </w:p>
    <w:tbl>
      <w:tblPr>
        <w:tblpPr w:leftFromText="180" w:rightFromText="180" w:vertAnchor="text" w:tblpXSpec="center" w:tblpY="1"/>
        <w:tblOverlap w:val="never"/>
        <w:tblW w:w="6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8"/>
        <w:gridCol w:w="2039"/>
        <w:gridCol w:w="1362"/>
        <w:gridCol w:w="1231"/>
        <w:gridCol w:w="1269"/>
      </w:tblGrid>
      <w:tr w:rsidR="00A5167D" w:rsidRPr="00D146E8" w:rsidTr="00471759">
        <w:trPr>
          <w:cantSplit/>
          <w:trHeight w:val="65"/>
        </w:trPr>
        <w:tc>
          <w:tcPr>
            <w:tcW w:w="6649" w:type="dxa"/>
            <w:gridSpan w:val="5"/>
            <w:shd w:val="clear" w:color="auto" w:fill="FFFFFF"/>
            <w:vAlign w:val="center"/>
          </w:tcPr>
          <w:p w:rsidR="00A5167D" w:rsidRPr="00D146E8" w:rsidRDefault="00A5167D" w:rsidP="00471759">
            <w:pPr>
              <w:jc w:val="center"/>
            </w:pPr>
            <w:r w:rsidRPr="00D146E8">
              <w:rPr>
                <w:b/>
                <w:bCs/>
              </w:rPr>
              <w:t>Coefficients</w:t>
            </w:r>
            <w:r w:rsidRPr="00D146E8">
              <w:rPr>
                <w:b/>
                <w:bCs/>
                <w:vertAlign w:val="superscript"/>
              </w:rPr>
              <w:t>a</w:t>
            </w:r>
          </w:p>
        </w:tc>
      </w:tr>
      <w:tr w:rsidR="00A5167D" w:rsidRPr="00D146E8" w:rsidTr="00471759">
        <w:trPr>
          <w:cantSplit/>
          <w:trHeight w:val="112"/>
        </w:trPr>
        <w:tc>
          <w:tcPr>
            <w:tcW w:w="2787" w:type="dxa"/>
            <w:gridSpan w:val="2"/>
            <w:vMerge w:val="restart"/>
            <w:shd w:val="clear" w:color="auto" w:fill="FFFFFF"/>
            <w:vAlign w:val="center"/>
          </w:tcPr>
          <w:p w:rsidR="00A5167D" w:rsidRPr="00D146E8" w:rsidRDefault="00A5167D" w:rsidP="00471759">
            <w:pPr>
              <w:jc w:val="center"/>
            </w:pPr>
            <w:r w:rsidRPr="00D146E8">
              <w:t>Model</w:t>
            </w:r>
          </w:p>
        </w:tc>
        <w:tc>
          <w:tcPr>
            <w:tcW w:w="3861" w:type="dxa"/>
            <w:gridSpan w:val="3"/>
            <w:shd w:val="clear" w:color="auto" w:fill="FFFFFF"/>
            <w:vAlign w:val="bottom"/>
          </w:tcPr>
          <w:p w:rsidR="00A5167D" w:rsidRPr="00D146E8" w:rsidRDefault="00A5167D" w:rsidP="00471759">
            <w:r w:rsidRPr="00D146E8">
              <w:t>Unstandardized Coefficients</w:t>
            </w:r>
          </w:p>
        </w:tc>
      </w:tr>
      <w:tr w:rsidR="00A5167D" w:rsidRPr="00D146E8" w:rsidTr="00471759">
        <w:trPr>
          <w:cantSplit/>
          <w:trHeight w:val="18"/>
        </w:trPr>
        <w:tc>
          <w:tcPr>
            <w:tcW w:w="2787" w:type="dxa"/>
            <w:gridSpan w:val="2"/>
            <w:vMerge/>
            <w:shd w:val="clear" w:color="auto" w:fill="FFFFFF"/>
            <w:vAlign w:val="bottom"/>
          </w:tcPr>
          <w:p w:rsidR="00A5167D" w:rsidRPr="00D146E8" w:rsidRDefault="00A5167D" w:rsidP="00471759">
            <w:pPr>
              <w:jc w:val="center"/>
            </w:pPr>
          </w:p>
        </w:tc>
        <w:tc>
          <w:tcPr>
            <w:tcW w:w="1362" w:type="dxa"/>
            <w:shd w:val="clear" w:color="auto" w:fill="FFFFFF"/>
            <w:vAlign w:val="bottom"/>
          </w:tcPr>
          <w:p w:rsidR="00A5167D" w:rsidRPr="00D146E8" w:rsidRDefault="00A5167D" w:rsidP="00471759">
            <w:pPr>
              <w:jc w:val="center"/>
            </w:pPr>
            <w:r w:rsidRPr="00D146E8">
              <w:t>B</w:t>
            </w:r>
          </w:p>
        </w:tc>
        <w:tc>
          <w:tcPr>
            <w:tcW w:w="1231" w:type="dxa"/>
            <w:shd w:val="clear" w:color="auto" w:fill="FFFFFF"/>
            <w:vAlign w:val="bottom"/>
          </w:tcPr>
          <w:p w:rsidR="00A5167D" w:rsidRPr="00D146E8" w:rsidRDefault="00A5167D" w:rsidP="00471759">
            <w:pPr>
              <w:jc w:val="center"/>
            </w:pPr>
            <w:r w:rsidRPr="00D146E8">
              <w:t>Std. Error</w:t>
            </w:r>
          </w:p>
        </w:tc>
        <w:tc>
          <w:tcPr>
            <w:tcW w:w="1267" w:type="dxa"/>
            <w:shd w:val="clear" w:color="auto" w:fill="FFFFFF"/>
            <w:vAlign w:val="bottom"/>
          </w:tcPr>
          <w:p w:rsidR="00A5167D" w:rsidRPr="00D146E8" w:rsidRDefault="00A5167D" w:rsidP="00471759">
            <w:pPr>
              <w:spacing w:line="278" w:lineRule="auto"/>
              <w:jc w:val="center"/>
            </w:pPr>
            <w:r w:rsidRPr="00D146E8">
              <w:t>Sig.</w:t>
            </w:r>
          </w:p>
        </w:tc>
      </w:tr>
      <w:tr w:rsidR="00A5167D" w:rsidRPr="00D146E8" w:rsidTr="00471759">
        <w:trPr>
          <w:cantSplit/>
          <w:trHeight w:val="64"/>
        </w:trPr>
        <w:tc>
          <w:tcPr>
            <w:tcW w:w="748" w:type="dxa"/>
            <w:vMerge w:val="restart"/>
            <w:shd w:val="clear" w:color="auto" w:fill="auto"/>
          </w:tcPr>
          <w:p w:rsidR="00A5167D" w:rsidRPr="00D146E8" w:rsidRDefault="00A5167D" w:rsidP="00471759">
            <w:r w:rsidRPr="00D146E8">
              <w:t>1</w:t>
            </w:r>
          </w:p>
        </w:tc>
        <w:tc>
          <w:tcPr>
            <w:tcW w:w="2038" w:type="dxa"/>
            <w:shd w:val="clear" w:color="auto" w:fill="auto"/>
          </w:tcPr>
          <w:p w:rsidR="00A5167D" w:rsidRPr="00D146E8" w:rsidRDefault="00A5167D" w:rsidP="00471759">
            <w:r w:rsidRPr="00D146E8">
              <w:t>(Constant)</w:t>
            </w:r>
          </w:p>
        </w:tc>
        <w:tc>
          <w:tcPr>
            <w:tcW w:w="1362" w:type="dxa"/>
            <w:shd w:val="clear" w:color="auto" w:fill="FFFFFF"/>
          </w:tcPr>
          <w:p w:rsidR="00A5167D" w:rsidRPr="00D146E8" w:rsidRDefault="00A5167D" w:rsidP="00471759">
            <w:pPr>
              <w:jc w:val="right"/>
            </w:pPr>
            <w:r w:rsidRPr="00D146E8">
              <w:t>17.006</w:t>
            </w:r>
          </w:p>
        </w:tc>
        <w:tc>
          <w:tcPr>
            <w:tcW w:w="1231" w:type="dxa"/>
            <w:shd w:val="clear" w:color="auto" w:fill="FFFFFF"/>
          </w:tcPr>
          <w:p w:rsidR="00A5167D" w:rsidRPr="00D146E8" w:rsidRDefault="00A5167D" w:rsidP="00471759">
            <w:pPr>
              <w:jc w:val="right"/>
            </w:pPr>
            <w:r w:rsidRPr="00D146E8">
              <w:t>3.446</w:t>
            </w:r>
          </w:p>
        </w:tc>
        <w:tc>
          <w:tcPr>
            <w:tcW w:w="1267" w:type="dxa"/>
            <w:shd w:val="clear" w:color="auto" w:fill="FFFFFF"/>
          </w:tcPr>
          <w:p w:rsidR="00A5167D" w:rsidRPr="00D146E8" w:rsidRDefault="00A5167D" w:rsidP="00471759">
            <w:pPr>
              <w:jc w:val="right"/>
            </w:pPr>
            <w:r w:rsidRPr="00D146E8">
              <w:t>.000</w:t>
            </w:r>
          </w:p>
        </w:tc>
      </w:tr>
      <w:tr w:rsidR="00A5167D" w:rsidRPr="00D146E8" w:rsidTr="00471759">
        <w:trPr>
          <w:cantSplit/>
          <w:trHeight w:val="18"/>
        </w:trPr>
        <w:tc>
          <w:tcPr>
            <w:tcW w:w="748" w:type="dxa"/>
            <w:vMerge/>
            <w:shd w:val="clear" w:color="auto" w:fill="auto"/>
          </w:tcPr>
          <w:p w:rsidR="00A5167D" w:rsidRPr="00D146E8" w:rsidRDefault="00A5167D" w:rsidP="00471759"/>
        </w:tc>
        <w:tc>
          <w:tcPr>
            <w:tcW w:w="2038" w:type="dxa"/>
            <w:shd w:val="clear" w:color="auto" w:fill="auto"/>
          </w:tcPr>
          <w:p w:rsidR="00A5167D" w:rsidRPr="00D146E8" w:rsidRDefault="00A5167D" w:rsidP="00471759">
            <w:r w:rsidRPr="00D146E8">
              <w:t>Tingkat Utang</w:t>
            </w:r>
          </w:p>
        </w:tc>
        <w:tc>
          <w:tcPr>
            <w:tcW w:w="1362" w:type="dxa"/>
            <w:shd w:val="clear" w:color="auto" w:fill="FFFFFF"/>
          </w:tcPr>
          <w:p w:rsidR="00A5167D" w:rsidRPr="00D146E8" w:rsidRDefault="00A5167D" w:rsidP="00471759">
            <w:pPr>
              <w:jc w:val="right"/>
            </w:pPr>
            <w:r w:rsidRPr="00D146E8">
              <w:t>-.016</w:t>
            </w:r>
          </w:p>
        </w:tc>
        <w:tc>
          <w:tcPr>
            <w:tcW w:w="1231" w:type="dxa"/>
            <w:shd w:val="clear" w:color="auto" w:fill="FFFFFF"/>
          </w:tcPr>
          <w:p w:rsidR="00A5167D" w:rsidRPr="00D146E8" w:rsidRDefault="00A5167D" w:rsidP="00471759">
            <w:pPr>
              <w:jc w:val="right"/>
            </w:pPr>
            <w:r w:rsidRPr="00D146E8">
              <w:t>.016</w:t>
            </w:r>
          </w:p>
        </w:tc>
        <w:tc>
          <w:tcPr>
            <w:tcW w:w="1267" w:type="dxa"/>
            <w:shd w:val="clear" w:color="auto" w:fill="FFFFFF"/>
          </w:tcPr>
          <w:p w:rsidR="00A5167D" w:rsidRPr="00D146E8" w:rsidRDefault="00A5167D" w:rsidP="00471759">
            <w:pPr>
              <w:jc w:val="right"/>
            </w:pPr>
            <w:r w:rsidRPr="00D146E8">
              <w:t>.300</w:t>
            </w:r>
          </w:p>
        </w:tc>
      </w:tr>
      <w:tr w:rsidR="00A5167D" w:rsidRPr="00D146E8" w:rsidTr="00471759">
        <w:trPr>
          <w:cantSplit/>
          <w:trHeight w:val="18"/>
        </w:trPr>
        <w:tc>
          <w:tcPr>
            <w:tcW w:w="748" w:type="dxa"/>
            <w:vMerge/>
            <w:shd w:val="clear" w:color="auto" w:fill="auto"/>
          </w:tcPr>
          <w:p w:rsidR="00A5167D" w:rsidRPr="00D146E8" w:rsidRDefault="00A5167D" w:rsidP="00471759"/>
        </w:tc>
        <w:tc>
          <w:tcPr>
            <w:tcW w:w="2038" w:type="dxa"/>
            <w:shd w:val="clear" w:color="auto" w:fill="auto"/>
          </w:tcPr>
          <w:p w:rsidR="00A5167D" w:rsidRPr="00D146E8" w:rsidRDefault="00A5167D" w:rsidP="00471759">
            <w:r w:rsidRPr="00D146E8">
              <w:t>profitabilitas</w:t>
            </w:r>
          </w:p>
        </w:tc>
        <w:tc>
          <w:tcPr>
            <w:tcW w:w="1362" w:type="dxa"/>
            <w:shd w:val="clear" w:color="auto" w:fill="FFFFFF"/>
          </w:tcPr>
          <w:p w:rsidR="00A5167D" w:rsidRPr="00D146E8" w:rsidRDefault="00A5167D" w:rsidP="00471759">
            <w:pPr>
              <w:jc w:val="right"/>
            </w:pPr>
            <w:r w:rsidRPr="00D146E8">
              <w:t>-.100</w:t>
            </w:r>
          </w:p>
        </w:tc>
        <w:tc>
          <w:tcPr>
            <w:tcW w:w="1231" w:type="dxa"/>
            <w:shd w:val="clear" w:color="auto" w:fill="FFFFFF"/>
          </w:tcPr>
          <w:p w:rsidR="00A5167D" w:rsidRPr="00D146E8" w:rsidRDefault="00A5167D" w:rsidP="00471759">
            <w:pPr>
              <w:jc w:val="right"/>
            </w:pPr>
            <w:r w:rsidRPr="00D146E8">
              <w:t>.040</w:t>
            </w:r>
          </w:p>
        </w:tc>
        <w:tc>
          <w:tcPr>
            <w:tcW w:w="1267" w:type="dxa"/>
            <w:shd w:val="clear" w:color="auto" w:fill="FFFFFF"/>
          </w:tcPr>
          <w:p w:rsidR="00A5167D" w:rsidRPr="00D146E8" w:rsidRDefault="00A5167D" w:rsidP="00471759">
            <w:pPr>
              <w:jc w:val="right"/>
            </w:pPr>
            <w:r w:rsidRPr="00D146E8">
              <w:t>.015</w:t>
            </w:r>
          </w:p>
        </w:tc>
      </w:tr>
      <w:tr w:rsidR="00A5167D" w:rsidRPr="00D146E8" w:rsidTr="00471759">
        <w:trPr>
          <w:cantSplit/>
          <w:trHeight w:val="18"/>
        </w:trPr>
        <w:tc>
          <w:tcPr>
            <w:tcW w:w="748" w:type="dxa"/>
            <w:vMerge/>
            <w:shd w:val="clear" w:color="auto" w:fill="auto"/>
          </w:tcPr>
          <w:p w:rsidR="00A5167D" w:rsidRPr="00D146E8" w:rsidRDefault="00A5167D" w:rsidP="00471759"/>
        </w:tc>
        <w:tc>
          <w:tcPr>
            <w:tcW w:w="2038" w:type="dxa"/>
            <w:shd w:val="clear" w:color="auto" w:fill="auto"/>
          </w:tcPr>
          <w:p w:rsidR="00A5167D" w:rsidRPr="00D146E8" w:rsidRDefault="00A5167D" w:rsidP="00471759">
            <w:r w:rsidRPr="00D146E8">
              <w:t>Ukuran Perusahaan</w:t>
            </w:r>
          </w:p>
        </w:tc>
        <w:tc>
          <w:tcPr>
            <w:tcW w:w="1362" w:type="dxa"/>
            <w:shd w:val="clear" w:color="auto" w:fill="FFFFFF"/>
          </w:tcPr>
          <w:p w:rsidR="00A5167D" w:rsidRPr="00D146E8" w:rsidRDefault="00A5167D" w:rsidP="00471759">
            <w:pPr>
              <w:jc w:val="right"/>
            </w:pPr>
            <w:r w:rsidRPr="00D146E8">
              <w:t>.237</w:t>
            </w:r>
          </w:p>
        </w:tc>
        <w:tc>
          <w:tcPr>
            <w:tcW w:w="1231" w:type="dxa"/>
            <w:shd w:val="clear" w:color="auto" w:fill="FFFFFF"/>
          </w:tcPr>
          <w:p w:rsidR="00A5167D" w:rsidRPr="00D146E8" w:rsidRDefault="00A5167D" w:rsidP="00471759">
            <w:pPr>
              <w:jc w:val="right"/>
            </w:pPr>
            <w:r w:rsidRPr="00D146E8">
              <w:t>.119</w:t>
            </w:r>
          </w:p>
        </w:tc>
        <w:tc>
          <w:tcPr>
            <w:tcW w:w="1267" w:type="dxa"/>
            <w:shd w:val="clear" w:color="auto" w:fill="FFFFFF"/>
          </w:tcPr>
          <w:p w:rsidR="00A5167D" w:rsidRPr="00D146E8" w:rsidRDefault="00A5167D" w:rsidP="00471759">
            <w:pPr>
              <w:jc w:val="right"/>
            </w:pPr>
            <w:r w:rsidRPr="00D146E8">
              <w:t>.050</w:t>
            </w:r>
          </w:p>
        </w:tc>
      </w:tr>
      <w:tr w:rsidR="00A5167D" w:rsidRPr="00D146E8" w:rsidTr="00471759">
        <w:trPr>
          <w:cantSplit/>
          <w:trHeight w:val="64"/>
        </w:trPr>
        <w:tc>
          <w:tcPr>
            <w:tcW w:w="6649" w:type="dxa"/>
            <w:gridSpan w:val="5"/>
            <w:shd w:val="clear" w:color="auto" w:fill="FFFFFF"/>
          </w:tcPr>
          <w:p w:rsidR="00A5167D" w:rsidRPr="00D146E8" w:rsidRDefault="00A5167D" w:rsidP="00471759">
            <w:r w:rsidRPr="00D146E8">
              <w:t>a. Dependent Variable: Penghindaran Pajak</w:t>
            </w:r>
          </w:p>
        </w:tc>
      </w:tr>
    </w:tbl>
    <w:p w:rsidR="00A5167D" w:rsidRDefault="00A5167D" w:rsidP="00A5167D">
      <w:pPr>
        <w:spacing w:line="480" w:lineRule="auto"/>
        <w:jc w:val="both"/>
      </w:pPr>
    </w:p>
    <w:p w:rsidR="00A5167D" w:rsidRDefault="00A5167D" w:rsidP="00A5167D">
      <w:pPr>
        <w:spacing w:line="480" w:lineRule="auto"/>
        <w:jc w:val="both"/>
      </w:pPr>
    </w:p>
    <w:p w:rsidR="00A5167D" w:rsidRDefault="00A5167D" w:rsidP="00A5167D">
      <w:pPr>
        <w:spacing w:line="276" w:lineRule="auto"/>
        <w:jc w:val="both"/>
        <w:rPr>
          <w:rFonts w:ascii="Times New Roman" w:hAnsi="Times New Roman" w:cs="Times New Roman"/>
          <w:sz w:val="24"/>
          <w:szCs w:val="24"/>
        </w:rPr>
      </w:pPr>
    </w:p>
    <w:p w:rsidR="00A5167D" w:rsidRDefault="00A5167D" w:rsidP="00A5167D">
      <w:pPr>
        <w:spacing w:line="276" w:lineRule="auto"/>
        <w:jc w:val="both"/>
        <w:rPr>
          <w:rFonts w:ascii="Times New Roman" w:hAnsi="Times New Roman" w:cs="Times New Roman"/>
          <w:sz w:val="24"/>
          <w:szCs w:val="24"/>
        </w:rPr>
      </w:pPr>
    </w:p>
    <w:p w:rsidR="00A5167D" w:rsidRDefault="00A5167D" w:rsidP="00A5167D">
      <w:pPr>
        <w:spacing w:line="276" w:lineRule="auto"/>
        <w:jc w:val="both"/>
        <w:rPr>
          <w:rFonts w:ascii="Times New Roman" w:hAnsi="Times New Roman" w:cs="Times New Roman"/>
          <w:sz w:val="24"/>
          <w:szCs w:val="24"/>
        </w:rPr>
      </w:pPr>
    </w:p>
    <w:p w:rsidR="00A5167D" w:rsidRDefault="00A5167D" w:rsidP="00A5167D">
      <w:pPr>
        <w:spacing w:line="276" w:lineRule="auto"/>
        <w:jc w:val="both"/>
        <w:rPr>
          <w:rFonts w:ascii="Times New Roman" w:hAnsi="Times New Roman" w:cs="Times New Roman"/>
          <w:sz w:val="24"/>
          <w:szCs w:val="24"/>
        </w:rPr>
      </w:pPr>
    </w:p>
    <w:p w:rsidR="00A5167D" w:rsidRDefault="00A5167D" w:rsidP="00A5167D">
      <w:pPr>
        <w:spacing w:line="276" w:lineRule="auto"/>
        <w:jc w:val="both"/>
        <w:rPr>
          <w:rFonts w:ascii="Times New Roman" w:hAnsi="Times New Roman" w:cs="Times New Roman"/>
          <w:sz w:val="24"/>
          <w:szCs w:val="24"/>
        </w:rPr>
      </w:pPr>
    </w:p>
    <w:p w:rsidR="00A5167D" w:rsidRDefault="00A5167D" w:rsidP="00A5167D">
      <w:pPr>
        <w:spacing w:line="480" w:lineRule="auto"/>
        <w:ind w:firstLine="720"/>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Pr="00EB5AFC" w:rsidRDefault="00A5167D" w:rsidP="00A5167D">
      <w:pPr>
        <w:spacing w:line="276" w:lineRule="auto"/>
        <w:jc w:val="both"/>
        <w:rPr>
          <w:rFonts w:ascii="Times New Roman" w:hAnsi="Times New Roman" w:cs="Times New Roman"/>
          <w:sz w:val="24"/>
          <w:szCs w:val="24"/>
        </w:rPr>
      </w:pPr>
      <w:r>
        <w:rPr>
          <w:rFonts w:ascii="Times New Roman" w:hAnsi="Times New Roman" w:cs="Times New Roman"/>
          <w:sz w:val="24"/>
          <w:szCs w:val="24"/>
        </w:rPr>
        <w:t>Persamaan regresi adalah sebagai berikut:</w:t>
      </w:r>
    </w:p>
    <w:p w:rsidR="00A5167D" w:rsidRDefault="00A5167D" w:rsidP="00A5167D">
      <w:pPr>
        <w:spacing w:line="276" w:lineRule="auto"/>
        <w:jc w:val="both"/>
        <w:rPr>
          <w:rFonts w:ascii="Times New Roman" w:hAnsi="Times New Roman" w:cs="Times New Roman"/>
          <w:sz w:val="24"/>
          <w:szCs w:val="24"/>
        </w:rPr>
      </w:pPr>
      <w:r>
        <w:rPr>
          <w:noProof/>
          <w:lang w:val="id-ID" w:eastAsia="id-ID" w:bidi="ar-SA"/>
        </w:rPr>
        <w:drawing>
          <wp:inline distT="0" distB="0" distL="0" distR="0" wp14:anchorId="3D2856F0" wp14:editId="4F9BFF97">
            <wp:extent cx="3756401" cy="246491"/>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674" b="31574"/>
                    <a:stretch/>
                  </pic:blipFill>
                  <pic:spPr bwMode="auto">
                    <a:xfrm>
                      <a:off x="0" y="0"/>
                      <a:ext cx="3761105" cy="246800"/>
                    </a:xfrm>
                    <a:prstGeom prst="rect">
                      <a:avLst/>
                    </a:prstGeom>
                    <a:noFill/>
                    <a:ln>
                      <a:noFill/>
                    </a:ln>
                    <a:extLst>
                      <a:ext uri="{53640926-AAD7-44D8-BBD7-CCE9431645EC}">
                        <a14:shadowObscured xmlns:a14="http://schemas.microsoft.com/office/drawing/2010/main"/>
                      </a:ext>
                    </a:extLst>
                  </pic:spPr>
                </pic:pic>
              </a:graphicData>
            </a:graphic>
          </wp:inline>
        </w:drawing>
      </w:r>
    </w:p>
    <w:p w:rsidR="00A5167D" w:rsidRDefault="00A5167D" w:rsidP="00A516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Penjelasan: </w:t>
      </w:r>
    </w:p>
    <w:p w:rsidR="00A5167D" w:rsidRPr="00696786" w:rsidRDefault="00A5167D" w:rsidP="00A5167D">
      <w:pPr>
        <w:pStyle w:val="ListParagraph"/>
        <w:numPr>
          <w:ilvl w:val="0"/>
          <w:numId w:val="2"/>
        </w:numPr>
        <w:spacing w:line="480" w:lineRule="auto"/>
        <w:jc w:val="both"/>
        <w:rPr>
          <w:rFonts w:ascii="Times New Roman" w:hAnsi="Times New Roman" w:cs="Times New Roman"/>
          <w:sz w:val="24"/>
          <w:szCs w:val="24"/>
        </w:rPr>
      </w:pPr>
      <w:r w:rsidRPr="00696786">
        <w:rPr>
          <w:rFonts w:ascii="Times New Roman" w:hAnsi="Times New Roman" w:cs="Times New Roman"/>
          <w:sz w:val="24"/>
          <w:szCs w:val="24"/>
        </w:rPr>
        <w:t xml:space="preserve">Nilai konstanta dalam model regresi sebesar 17,006 menunjukkan bahwa apabila seluruh variabel independen (tingkat utang, profitabilitas, dan ukuran perusahaan) bernilai nol, maka nilai penghindaran pajak diprediksi sebesar 17,006. Konstanta ini </w:t>
      </w:r>
      <w:r w:rsidRPr="00696786">
        <w:rPr>
          <w:rFonts w:ascii="Times New Roman" w:hAnsi="Times New Roman" w:cs="Times New Roman"/>
          <w:sz w:val="24"/>
          <w:szCs w:val="24"/>
        </w:rPr>
        <w:lastRenderedPageBreak/>
        <w:t>merepresentasikan nilai dasar penghindaran pajak sebelum mempertimbangkan pengaruh dari variabel-variabel bebas.</w:t>
      </w:r>
    </w:p>
    <w:p w:rsidR="00A5167D" w:rsidRPr="00696786" w:rsidRDefault="00A5167D" w:rsidP="00A5167D">
      <w:pPr>
        <w:pStyle w:val="ListParagraph"/>
        <w:numPr>
          <w:ilvl w:val="0"/>
          <w:numId w:val="2"/>
        </w:numPr>
        <w:spacing w:line="480" w:lineRule="auto"/>
        <w:jc w:val="both"/>
        <w:rPr>
          <w:rFonts w:ascii="Times New Roman" w:hAnsi="Times New Roman" w:cs="Times New Roman"/>
          <w:sz w:val="24"/>
          <w:szCs w:val="24"/>
        </w:rPr>
      </w:pPr>
      <w:r w:rsidRPr="00696786">
        <w:rPr>
          <w:rFonts w:ascii="Times New Roman" w:hAnsi="Times New Roman" w:cs="Times New Roman"/>
          <w:sz w:val="24"/>
          <w:szCs w:val="24"/>
        </w:rPr>
        <w:t xml:space="preserve">Variabel tingkat utang memiliki koefisien regresi sebesar -0,016 dengan nilai signifikansi 0,300. Hal ini menunjukkan bahwa setiap peningkatan satu satuan dalam tingkat utang </w:t>
      </w:r>
      <w:proofErr w:type="gramStart"/>
      <w:r w:rsidRPr="00696786">
        <w:rPr>
          <w:rFonts w:ascii="Times New Roman" w:hAnsi="Times New Roman" w:cs="Times New Roman"/>
          <w:sz w:val="24"/>
          <w:szCs w:val="24"/>
        </w:rPr>
        <w:t>akan</w:t>
      </w:r>
      <w:proofErr w:type="gramEnd"/>
      <w:r w:rsidRPr="00696786">
        <w:rPr>
          <w:rFonts w:ascii="Times New Roman" w:hAnsi="Times New Roman" w:cs="Times New Roman"/>
          <w:sz w:val="24"/>
          <w:szCs w:val="24"/>
        </w:rPr>
        <w:t xml:space="preserve"> menurunkan penghindaran pajak sebesar 0,016 satuan. Namun, karena nilai signifikansinya lebih besar dari 0</w:t>
      </w:r>
      <w:proofErr w:type="gramStart"/>
      <w:r w:rsidRPr="00696786">
        <w:rPr>
          <w:rFonts w:ascii="Times New Roman" w:hAnsi="Times New Roman" w:cs="Times New Roman"/>
          <w:sz w:val="24"/>
          <w:szCs w:val="24"/>
        </w:rPr>
        <w:t>,05</w:t>
      </w:r>
      <w:proofErr w:type="gramEnd"/>
      <w:r w:rsidRPr="00696786">
        <w:rPr>
          <w:rFonts w:ascii="Times New Roman" w:hAnsi="Times New Roman" w:cs="Times New Roman"/>
          <w:sz w:val="24"/>
          <w:szCs w:val="24"/>
        </w:rPr>
        <w:t>, maka pengaruh tingkat utang terhadap penghindaran pajak tidak signifikan secara statistik. Dengan demikian, tingkat utang tidak memiliki pengaruh yang berarti terhadap kecenderungan perusahaan untuk menghindari pajak dalam penelitian ini.</w:t>
      </w:r>
    </w:p>
    <w:p w:rsidR="00A5167D" w:rsidRPr="00696786" w:rsidRDefault="00A5167D" w:rsidP="00A5167D">
      <w:pPr>
        <w:pStyle w:val="ListParagraph"/>
        <w:numPr>
          <w:ilvl w:val="0"/>
          <w:numId w:val="2"/>
        </w:numPr>
        <w:spacing w:line="480" w:lineRule="auto"/>
        <w:jc w:val="both"/>
        <w:rPr>
          <w:rFonts w:ascii="Times New Roman" w:hAnsi="Times New Roman" w:cs="Times New Roman"/>
          <w:sz w:val="24"/>
          <w:szCs w:val="24"/>
        </w:rPr>
      </w:pPr>
      <w:r w:rsidRPr="00696786">
        <w:rPr>
          <w:rFonts w:ascii="Times New Roman" w:hAnsi="Times New Roman" w:cs="Times New Roman"/>
          <w:sz w:val="24"/>
          <w:szCs w:val="24"/>
        </w:rPr>
        <w:t xml:space="preserve">Variabel profitabilitas memiliki koefisien regresi sebesar -0,100 dengan nilai signifikansi sebesar 0,015. Artinya, setiap kenaikan satu satuan profitabilitas </w:t>
      </w:r>
      <w:proofErr w:type="gramStart"/>
      <w:r w:rsidRPr="00696786">
        <w:rPr>
          <w:rFonts w:ascii="Times New Roman" w:hAnsi="Times New Roman" w:cs="Times New Roman"/>
          <w:sz w:val="24"/>
          <w:szCs w:val="24"/>
        </w:rPr>
        <w:t>akan</w:t>
      </w:r>
      <w:proofErr w:type="gramEnd"/>
      <w:r w:rsidRPr="00696786">
        <w:rPr>
          <w:rFonts w:ascii="Times New Roman" w:hAnsi="Times New Roman" w:cs="Times New Roman"/>
          <w:sz w:val="24"/>
          <w:szCs w:val="24"/>
        </w:rPr>
        <w:t xml:space="preserve"> menurunkan tingkat penghindaran pajak sebesar 0,100 satuan. Karena nilai signifikansinya lebih kecil dari 0</w:t>
      </w:r>
      <w:proofErr w:type="gramStart"/>
      <w:r w:rsidRPr="00696786">
        <w:rPr>
          <w:rFonts w:ascii="Times New Roman" w:hAnsi="Times New Roman" w:cs="Times New Roman"/>
          <w:sz w:val="24"/>
          <w:szCs w:val="24"/>
        </w:rPr>
        <w:t>,05</w:t>
      </w:r>
      <w:proofErr w:type="gramEnd"/>
      <w:r w:rsidRPr="00696786">
        <w:rPr>
          <w:rFonts w:ascii="Times New Roman" w:hAnsi="Times New Roman" w:cs="Times New Roman"/>
          <w:sz w:val="24"/>
          <w:szCs w:val="24"/>
        </w:rPr>
        <w:t>, maka pengaruh profitabilitas terhadap penghindaran pajak dinyatakan signifikan secara statistik. Hasil ini menunjukkan bahwa semakin tinggi profitabilitas perusahaan, maka semakin rendah kecenderungan perusahaan dalam melakukan penghindaran pajak.</w:t>
      </w:r>
    </w:p>
    <w:p w:rsidR="00A5167D" w:rsidRDefault="00A5167D" w:rsidP="00A5167D">
      <w:pPr>
        <w:pStyle w:val="ListParagraph"/>
        <w:numPr>
          <w:ilvl w:val="0"/>
          <w:numId w:val="2"/>
        </w:numPr>
        <w:spacing w:line="480" w:lineRule="auto"/>
        <w:jc w:val="both"/>
        <w:rPr>
          <w:rFonts w:ascii="Times New Roman" w:hAnsi="Times New Roman" w:cs="Times New Roman"/>
          <w:sz w:val="24"/>
          <w:szCs w:val="24"/>
        </w:rPr>
      </w:pPr>
      <w:r w:rsidRPr="00696786">
        <w:rPr>
          <w:rFonts w:ascii="Times New Roman" w:hAnsi="Times New Roman" w:cs="Times New Roman"/>
          <w:sz w:val="24"/>
          <w:szCs w:val="24"/>
        </w:rPr>
        <w:t xml:space="preserve">Variabel ukuran perusahaan memiliki koefisien sebesar 0,237 dengan nilai signifikansi 0,050. Hal ini berarti bahwa setiap kenaikan satu satuan ukuran perusahaan </w:t>
      </w:r>
      <w:proofErr w:type="gramStart"/>
      <w:r w:rsidRPr="00696786">
        <w:rPr>
          <w:rFonts w:ascii="Times New Roman" w:hAnsi="Times New Roman" w:cs="Times New Roman"/>
          <w:sz w:val="24"/>
          <w:szCs w:val="24"/>
        </w:rPr>
        <w:t>akan</w:t>
      </w:r>
      <w:proofErr w:type="gramEnd"/>
      <w:r w:rsidRPr="00696786">
        <w:rPr>
          <w:rFonts w:ascii="Times New Roman" w:hAnsi="Times New Roman" w:cs="Times New Roman"/>
          <w:sz w:val="24"/>
          <w:szCs w:val="24"/>
        </w:rPr>
        <w:t xml:space="preserve"> meningkatkan penghindaran pajak sebesar 0,237 satuan. Karena nilai signifikansinya berada tepat pada ambang batas 0</w:t>
      </w:r>
      <w:proofErr w:type="gramStart"/>
      <w:r w:rsidRPr="00696786">
        <w:rPr>
          <w:rFonts w:ascii="Times New Roman" w:hAnsi="Times New Roman" w:cs="Times New Roman"/>
          <w:sz w:val="24"/>
          <w:szCs w:val="24"/>
        </w:rPr>
        <w:t>,05</w:t>
      </w:r>
      <w:proofErr w:type="gramEnd"/>
      <w:r w:rsidRPr="00696786">
        <w:rPr>
          <w:rFonts w:ascii="Times New Roman" w:hAnsi="Times New Roman" w:cs="Times New Roman"/>
          <w:sz w:val="24"/>
          <w:szCs w:val="24"/>
        </w:rPr>
        <w:t>, maka pengaruh ukuran perusahaan terhadap penghindaran pajak dapat dikatakan signifikan secara statistik. Dengan demikian, semakin besar ukuran suatu perusahaan, maka semakin tinggi kecenderungannya dalam melakukan penghindaran pajak.</w:t>
      </w:r>
    </w:p>
    <w:p w:rsidR="00A5167D" w:rsidRDefault="00A5167D" w:rsidP="00A5167D">
      <w:pPr>
        <w:pStyle w:val="Heading3"/>
        <w:spacing w:line="480" w:lineRule="auto"/>
      </w:pPr>
      <w:bookmarkStart w:id="25" w:name="_Toc202786239"/>
      <w:r>
        <w:lastRenderedPageBreak/>
        <w:t>4.2.4 Uji Hipotesis</w:t>
      </w:r>
      <w:bookmarkEnd w:id="25"/>
    </w:p>
    <w:p w:rsidR="00A5167D" w:rsidRPr="00E42F0F" w:rsidRDefault="00A5167D" w:rsidP="00A5167D">
      <w:pPr>
        <w:pStyle w:val="Heading4"/>
        <w:jc w:val="both"/>
      </w:pPr>
      <w:r w:rsidRPr="00E42F0F">
        <w:t>4.2.4.1 Koefisien Determinasi</w:t>
      </w:r>
    </w:p>
    <w:p w:rsidR="00A5167D" w:rsidRDefault="00A5167D" w:rsidP="00A5167D">
      <w:pPr>
        <w:spacing w:line="480" w:lineRule="auto"/>
        <w:ind w:firstLine="720"/>
        <w:jc w:val="both"/>
        <w:rPr>
          <w:rFonts w:ascii="Times New Roman" w:hAnsi="Times New Roman" w:cs="Times New Roman"/>
          <w:sz w:val="24"/>
          <w:szCs w:val="24"/>
        </w:rPr>
      </w:pPr>
      <w:proofErr w:type="gramStart"/>
      <w:r w:rsidRPr="005F58D5">
        <w:rPr>
          <w:rFonts w:ascii="Times New Roman" w:hAnsi="Times New Roman" w:cs="Times New Roman"/>
          <w:sz w:val="24"/>
          <w:szCs w:val="24"/>
        </w:rPr>
        <w:t>Koefisien determinasi merupakan indikator yang menunjukkan seberapa besar proporsi variasi dari variabel dependen yang mampu dijelaskan oleh variabel-variabel independen (Lind et al., 2021).</w:t>
      </w:r>
      <w:proofErr w:type="gramEnd"/>
      <w:r w:rsidRPr="005F58D5">
        <w:rPr>
          <w:rFonts w:ascii="Times New Roman" w:hAnsi="Times New Roman" w:cs="Times New Roman"/>
          <w:sz w:val="24"/>
          <w:szCs w:val="24"/>
        </w:rPr>
        <w:t xml:space="preserve"> Nilai R² merepresentasikan bagian dari total variasi variabel dependen yang berhasil dijelaskan oleh model regresi melalui kontribusi variabel independen. </w:t>
      </w:r>
      <w:proofErr w:type="gramStart"/>
      <w:r w:rsidRPr="005F58D5">
        <w:rPr>
          <w:rFonts w:ascii="Times New Roman" w:hAnsi="Times New Roman" w:cs="Times New Roman"/>
          <w:sz w:val="24"/>
          <w:szCs w:val="24"/>
        </w:rPr>
        <w:t>Secara sederhana, R² mengukur tingkat kemampuan variabel independen dalam memprediksi atau menjelaskan perubahan pada variabel dependen dalam suatu model.</w:t>
      </w:r>
      <w:proofErr w:type="gramEnd"/>
    </w:p>
    <w:p w:rsidR="00A5167D" w:rsidRDefault="00A5167D" w:rsidP="00A5167D">
      <w:pPr>
        <w:pStyle w:val="Caption"/>
        <w:jc w:val="center"/>
        <w:rPr>
          <w:rFonts w:ascii="Times New Roman" w:hAnsi="Times New Roman" w:cs="Times New Roman"/>
          <w:b/>
          <w:bCs/>
          <w:i w:val="0"/>
          <w:iCs w:val="0"/>
          <w:color w:val="auto"/>
          <w:sz w:val="24"/>
          <w:szCs w:val="24"/>
        </w:rPr>
      </w:pPr>
      <w:bookmarkStart w:id="26" w:name="_Toc202720442"/>
      <w:proofErr w:type="gramStart"/>
      <w:r w:rsidRPr="001D487B">
        <w:rPr>
          <w:rFonts w:ascii="Times New Roman" w:hAnsi="Times New Roman" w:cs="Times New Roman"/>
          <w:b/>
          <w:bCs/>
          <w:i w:val="0"/>
          <w:iCs w:val="0"/>
          <w:color w:val="auto"/>
          <w:sz w:val="24"/>
          <w:szCs w:val="24"/>
        </w:rPr>
        <w:t>Tabel 4.</w:t>
      </w:r>
      <w:proofErr w:type="gramEnd"/>
      <w:r w:rsidRPr="001D487B">
        <w:rPr>
          <w:rFonts w:ascii="Times New Roman" w:hAnsi="Times New Roman" w:cs="Times New Roman"/>
          <w:b/>
          <w:bCs/>
          <w:i w:val="0"/>
          <w:iCs w:val="0"/>
          <w:color w:val="auto"/>
          <w:sz w:val="24"/>
          <w:szCs w:val="24"/>
        </w:rPr>
        <w:t xml:space="preserve"> </w:t>
      </w:r>
      <w:r w:rsidRPr="001D487B">
        <w:rPr>
          <w:rFonts w:ascii="Times New Roman" w:hAnsi="Times New Roman" w:cs="Times New Roman"/>
          <w:b/>
          <w:bCs/>
          <w:i w:val="0"/>
          <w:iCs w:val="0"/>
          <w:color w:val="auto"/>
          <w:sz w:val="24"/>
          <w:szCs w:val="24"/>
        </w:rPr>
        <w:fldChar w:fldCharType="begin"/>
      </w:r>
      <w:r w:rsidRPr="001D487B">
        <w:rPr>
          <w:rFonts w:ascii="Times New Roman" w:hAnsi="Times New Roman" w:cs="Times New Roman"/>
          <w:b/>
          <w:bCs/>
          <w:i w:val="0"/>
          <w:iCs w:val="0"/>
          <w:color w:val="auto"/>
          <w:sz w:val="24"/>
          <w:szCs w:val="24"/>
        </w:rPr>
        <w:instrText xml:space="preserve"> SEQ Tabel_4. \* ARABIC </w:instrText>
      </w:r>
      <w:r w:rsidRPr="001D487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1D487B">
        <w:rPr>
          <w:rFonts w:ascii="Times New Roman" w:hAnsi="Times New Roman" w:cs="Times New Roman"/>
          <w:b/>
          <w:bCs/>
          <w:i w:val="0"/>
          <w:iCs w:val="0"/>
          <w:color w:val="auto"/>
          <w:sz w:val="24"/>
          <w:szCs w:val="24"/>
        </w:rPr>
        <w:fldChar w:fldCharType="end"/>
      </w:r>
      <w:r w:rsidRPr="001D487B">
        <w:rPr>
          <w:rFonts w:ascii="Times New Roman" w:hAnsi="Times New Roman" w:cs="Times New Roman"/>
          <w:b/>
          <w:bCs/>
          <w:i w:val="0"/>
          <w:iCs w:val="0"/>
          <w:color w:val="auto"/>
          <w:sz w:val="24"/>
          <w:szCs w:val="24"/>
        </w:rPr>
        <w:t xml:space="preserve"> </w:t>
      </w:r>
    </w:p>
    <w:p w:rsidR="00A5167D" w:rsidRPr="001D487B" w:rsidRDefault="00A5167D" w:rsidP="00A5167D">
      <w:pPr>
        <w:pStyle w:val="Caption"/>
        <w:jc w:val="center"/>
        <w:rPr>
          <w:rFonts w:ascii="Times New Roman" w:hAnsi="Times New Roman" w:cs="Times New Roman"/>
          <w:b/>
          <w:bCs/>
          <w:i w:val="0"/>
          <w:iCs w:val="0"/>
          <w:color w:val="auto"/>
          <w:sz w:val="24"/>
          <w:szCs w:val="24"/>
        </w:rPr>
      </w:pPr>
      <w:r w:rsidRPr="001D487B">
        <w:rPr>
          <w:rFonts w:ascii="Times New Roman" w:hAnsi="Times New Roman" w:cs="Times New Roman"/>
          <w:b/>
          <w:bCs/>
          <w:i w:val="0"/>
          <w:iCs w:val="0"/>
          <w:color w:val="auto"/>
          <w:sz w:val="24"/>
          <w:szCs w:val="24"/>
        </w:rPr>
        <w:t>Hasil Uji Koefisien Determinasi</w:t>
      </w:r>
      <w:bookmarkEnd w:id="26"/>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843"/>
        <w:gridCol w:w="1985"/>
        <w:gridCol w:w="2126"/>
      </w:tblGrid>
      <w:tr w:rsidR="00A5167D" w:rsidRPr="00D146E8" w:rsidTr="00471759">
        <w:trPr>
          <w:cantSplit/>
          <w:trHeight w:val="461"/>
          <w:jc w:val="center"/>
        </w:trPr>
        <w:tc>
          <w:tcPr>
            <w:tcW w:w="7655" w:type="dxa"/>
            <w:gridSpan w:val="4"/>
            <w:shd w:val="clear" w:color="auto" w:fill="FFFFFF"/>
            <w:vAlign w:val="center"/>
          </w:tcPr>
          <w:p w:rsidR="00A5167D" w:rsidRPr="00D146E8" w:rsidRDefault="00A5167D" w:rsidP="00471759">
            <w:pPr>
              <w:jc w:val="center"/>
            </w:pPr>
            <w:r w:rsidRPr="00D146E8">
              <w:rPr>
                <w:b/>
                <w:bCs/>
              </w:rPr>
              <w:t>Model Summary</w:t>
            </w:r>
            <w:r w:rsidRPr="00D146E8">
              <w:rPr>
                <w:b/>
                <w:bCs/>
                <w:vertAlign w:val="superscript"/>
              </w:rPr>
              <w:t>b</w:t>
            </w:r>
          </w:p>
        </w:tc>
      </w:tr>
      <w:tr w:rsidR="00A5167D" w:rsidRPr="00D146E8" w:rsidTr="00471759">
        <w:trPr>
          <w:cantSplit/>
          <w:trHeight w:val="499"/>
          <w:jc w:val="center"/>
        </w:trPr>
        <w:tc>
          <w:tcPr>
            <w:tcW w:w="1701" w:type="dxa"/>
            <w:vMerge w:val="restart"/>
            <w:shd w:val="clear" w:color="auto" w:fill="FFFFFF"/>
            <w:vAlign w:val="bottom"/>
          </w:tcPr>
          <w:p w:rsidR="00A5167D" w:rsidRPr="00D146E8" w:rsidRDefault="00A5167D" w:rsidP="00471759">
            <w:pPr>
              <w:jc w:val="center"/>
            </w:pPr>
            <w:r w:rsidRPr="00D146E8">
              <w:t>Model</w:t>
            </w:r>
          </w:p>
        </w:tc>
        <w:tc>
          <w:tcPr>
            <w:tcW w:w="1843" w:type="dxa"/>
            <w:vMerge w:val="restart"/>
            <w:shd w:val="clear" w:color="auto" w:fill="FFFFFF"/>
            <w:vAlign w:val="bottom"/>
          </w:tcPr>
          <w:p w:rsidR="00A5167D" w:rsidRPr="00D146E8" w:rsidRDefault="00A5167D" w:rsidP="00471759">
            <w:pPr>
              <w:jc w:val="center"/>
            </w:pPr>
            <w:r w:rsidRPr="00D146E8">
              <w:t>R</w:t>
            </w:r>
          </w:p>
        </w:tc>
        <w:tc>
          <w:tcPr>
            <w:tcW w:w="1985" w:type="dxa"/>
            <w:vMerge w:val="restart"/>
            <w:shd w:val="clear" w:color="auto" w:fill="FFFFFF"/>
            <w:vAlign w:val="bottom"/>
          </w:tcPr>
          <w:p w:rsidR="00A5167D" w:rsidRPr="00D146E8" w:rsidRDefault="00A5167D" w:rsidP="00471759">
            <w:pPr>
              <w:jc w:val="center"/>
            </w:pPr>
            <w:r w:rsidRPr="00D146E8">
              <w:t>R Square</w:t>
            </w:r>
          </w:p>
        </w:tc>
        <w:tc>
          <w:tcPr>
            <w:tcW w:w="2126" w:type="dxa"/>
            <w:vMerge w:val="restart"/>
            <w:shd w:val="clear" w:color="auto" w:fill="FFFFFF"/>
            <w:vAlign w:val="bottom"/>
          </w:tcPr>
          <w:p w:rsidR="00A5167D" w:rsidRPr="00D146E8" w:rsidRDefault="00A5167D" w:rsidP="00471759">
            <w:pPr>
              <w:jc w:val="center"/>
            </w:pPr>
            <w:r w:rsidRPr="00D146E8">
              <w:t>Adjusted R Square</w:t>
            </w:r>
          </w:p>
        </w:tc>
      </w:tr>
      <w:tr w:rsidR="00A5167D" w:rsidRPr="00D146E8" w:rsidTr="00471759">
        <w:trPr>
          <w:cantSplit/>
          <w:trHeight w:val="499"/>
          <w:jc w:val="center"/>
        </w:trPr>
        <w:tc>
          <w:tcPr>
            <w:tcW w:w="1701" w:type="dxa"/>
            <w:vMerge/>
            <w:shd w:val="clear" w:color="auto" w:fill="FFFFFF"/>
            <w:vAlign w:val="bottom"/>
          </w:tcPr>
          <w:p w:rsidR="00A5167D" w:rsidRPr="00D146E8" w:rsidRDefault="00A5167D" w:rsidP="00471759">
            <w:pPr>
              <w:jc w:val="center"/>
            </w:pPr>
          </w:p>
        </w:tc>
        <w:tc>
          <w:tcPr>
            <w:tcW w:w="1843" w:type="dxa"/>
            <w:vMerge/>
            <w:shd w:val="clear" w:color="auto" w:fill="FFFFFF"/>
            <w:vAlign w:val="bottom"/>
          </w:tcPr>
          <w:p w:rsidR="00A5167D" w:rsidRPr="00D146E8" w:rsidRDefault="00A5167D" w:rsidP="00471759">
            <w:pPr>
              <w:jc w:val="center"/>
            </w:pPr>
          </w:p>
        </w:tc>
        <w:tc>
          <w:tcPr>
            <w:tcW w:w="1985" w:type="dxa"/>
            <w:vMerge/>
            <w:shd w:val="clear" w:color="auto" w:fill="FFFFFF"/>
            <w:vAlign w:val="bottom"/>
          </w:tcPr>
          <w:p w:rsidR="00A5167D" w:rsidRPr="00D146E8" w:rsidRDefault="00A5167D" w:rsidP="00471759">
            <w:pPr>
              <w:jc w:val="center"/>
            </w:pPr>
          </w:p>
        </w:tc>
        <w:tc>
          <w:tcPr>
            <w:tcW w:w="2126" w:type="dxa"/>
            <w:vMerge/>
            <w:shd w:val="clear" w:color="auto" w:fill="FFFFFF"/>
            <w:vAlign w:val="bottom"/>
          </w:tcPr>
          <w:p w:rsidR="00A5167D" w:rsidRPr="00D146E8" w:rsidRDefault="00A5167D" w:rsidP="00471759">
            <w:pPr>
              <w:jc w:val="center"/>
            </w:pPr>
          </w:p>
        </w:tc>
      </w:tr>
      <w:tr w:rsidR="00A5167D" w:rsidRPr="00D146E8" w:rsidTr="00471759">
        <w:trPr>
          <w:cantSplit/>
          <w:trHeight w:val="449"/>
          <w:jc w:val="center"/>
        </w:trPr>
        <w:tc>
          <w:tcPr>
            <w:tcW w:w="1701" w:type="dxa"/>
            <w:shd w:val="clear" w:color="auto" w:fill="auto"/>
          </w:tcPr>
          <w:p w:rsidR="00A5167D" w:rsidRPr="00D146E8" w:rsidRDefault="00A5167D" w:rsidP="00471759">
            <w:pPr>
              <w:jc w:val="center"/>
            </w:pPr>
            <w:r w:rsidRPr="00D146E8">
              <w:t>1</w:t>
            </w:r>
          </w:p>
        </w:tc>
        <w:tc>
          <w:tcPr>
            <w:tcW w:w="1843" w:type="dxa"/>
            <w:shd w:val="clear" w:color="auto" w:fill="FFFFFF"/>
          </w:tcPr>
          <w:p w:rsidR="00A5167D" w:rsidRPr="00D146E8" w:rsidRDefault="00A5167D" w:rsidP="00471759">
            <w:pPr>
              <w:jc w:val="right"/>
            </w:pPr>
            <w:r w:rsidRPr="00D146E8">
              <w:t>.371</w:t>
            </w:r>
            <w:r w:rsidRPr="00D146E8">
              <w:rPr>
                <w:vertAlign w:val="superscript"/>
              </w:rPr>
              <w:t>a</w:t>
            </w:r>
          </w:p>
        </w:tc>
        <w:tc>
          <w:tcPr>
            <w:tcW w:w="1985" w:type="dxa"/>
            <w:shd w:val="clear" w:color="auto" w:fill="FFFFFF"/>
          </w:tcPr>
          <w:p w:rsidR="00A5167D" w:rsidRPr="00D146E8" w:rsidRDefault="00A5167D" w:rsidP="00471759">
            <w:pPr>
              <w:jc w:val="right"/>
            </w:pPr>
            <w:r w:rsidRPr="00D146E8">
              <w:t>.137</w:t>
            </w:r>
          </w:p>
        </w:tc>
        <w:tc>
          <w:tcPr>
            <w:tcW w:w="2126" w:type="dxa"/>
            <w:shd w:val="clear" w:color="auto" w:fill="FFFFFF"/>
          </w:tcPr>
          <w:p w:rsidR="00A5167D" w:rsidRPr="00D146E8" w:rsidRDefault="00A5167D" w:rsidP="00471759">
            <w:pPr>
              <w:jc w:val="right"/>
            </w:pPr>
            <w:r w:rsidRPr="00D146E8">
              <w:t>.101</w:t>
            </w:r>
          </w:p>
        </w:tc>
      </w:tr>
      <w:tr w:rsidR="00A5167D" w:rsidRPr="00D146E8" w:rsidTr="00471759">
        <w:trPr>
          <w:cantSplit/>
          <w:trHeight w:val="461"/>
          <w:jc w:val="center"/>
        </w:trPr>
        <w:tc>
          <w:tcPr>
            <w:tcW w:w="7655" w:type="dxa"/>
            <w:gridSpan w:val="4"/>
            <w:shd w:val="clear" w:color="auto" w:fill="FFFFFF"/>
          </w:tcPr>
          <w:p w:rsidR="00A5167D" w:rsidRPr="00D146E8" w:rsidRDefault="00A5167D" w:rsidP="00471759">
            <w:r w:rsidRPr="00D146E8">
              <w:t>a. Predictors: (Constant), Ukuran Perusahaan, profitabilitas, Tingkat Utang</w:t>
            </w:r>
          </w:p>
        </w:tc>
      </w:tr>
      <w:tr w:rsidR="00A5167D" w:rsidRPr="00D146E8" w:rsidTr="00471759">
        <w:trPr>
          <w:cantSplit/>
          <w:trHeight w:val="461"/>
          <w:jc w:val="center"/>
        </w:trPr>
        <w:tc>
          <w:tcPr>
            <w:tcW w:w="7655" w:type="dxa"/>
            <w:gridSpan w:val="4"/>
            <w:shd w:val="clear" w:color="auto" w:fill="FFFFFF"/>
          </w:tcPr>
          <w:p w:rsidR="00A5167D" w:rsidRPr="00D146E8" w:rsidRDefault="00A5167D" w:rsidP="00471759">
            <w:r w:rsidRPr="00D146E8">
              <w:t>b. Dependent Variable: Penghindaran Pajak</w:t>
            </w:r>
          </w:p>
        </w:tc>
      </w:tr>
    </w:tbl>
    <w:p w:rsidR="00A5167D" w:rsidRDefault="00A5167D" w:rsidP="00A516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Default="00A5167D" w:rsidP="00A5167D">
      <w:pPr>
        <w:spacing w:line="480" w:lineRule="auto"/>
        <w:ind w:firstLine="720"/>
        <w:jc w:val="both"/>
        <w:rPr>
          <w:rFonts w:ascii="Times New Roman" w:hAnsi="Times New Roman" w:cs="Times New Roman"/>
          <w:sz w:val="24"/>
          <w:szCs w:val="24"/>
        </w:rPr>
      </w:pPr>
      <w:proofErr w:type="gramStart"/>
      <w:r w:rsidRPr="00A26BC2">
        <w:rPr>
          <w:rFonts w:ascii="Times New Roman" w:hAnsi="Times New Roman" w:cs="Times New Roman"/>
          <w:sz w:val="24"/>
          <w:szCs w:val="24"/>
        </w:rPr>
        <w:t xml:space="preserve">Berdasarkan </w:t>
      </w:r>
      <w:r>
        <w:rPr>
          <w:rFonts w:ascii="Times New Roman" w:hAnsi="Times New Roman" w:cs="Times New Roman"/>
          <w:sz w:val="24"/>
          <w:szCs w:val="24"/>
        </w:rPr>
        <w:t xml:space="preserve">table </w:t>
      </w:r>
      <w:r w:rsidRPr="00A26BC2">
        <w:rPr>
          <w:rFonts w:ascii="Times New Roman" w:hAnsi="Times New Roman" w:cs="Times New Roman"/>
          <w:sz w:val="24"/>
          <w:szCs w:val="24"/>
        </w:rPr>
        <w:t>di atas, uji koefisien determinasi dilakukan untuk mengetahui seberapa besar kontribusi variabel independen secara bersama-sama dalam menjelaskan variabel dependen.</w:t>
      </w:r>
      <w:proofErr w:type="gramEnd"/>
      <w:r w:rsidRPr="00A26BC2">
        <w:rPr>
          <w:rFonts w:ascii="Times New Roman" w:hAnsi="Times New Roman" w:cs="Times New Roman"/>
          <w:sz w:val="24"/>
          <w:szCs w:val="24"/>
        </w:rPr>
        <w:t xml:space="preserve"> </w:t>
      </w:r>
      <w:proofErr w:type="gramStart"/>
      <w:r w:rsidRPr="00A26BC2">
        <w:rPr>
          <w:rFonts w:ascii="Times New Roman" w:hAnsi="Times New Roman" w:cs="Times New Roman"/>
          <w:sz w:val="24"/>
          <w:szCs w:val="24"/>
        </w:rPr>
        <w:t>Nilai R Square (R²) pada tabel tersebut adalah sebesar 0,137.</w:t>
      </w:r>
      <w:proofErr w:type="gramEnd"/>
      <w:r w:rsidRPr="00A26BC2">
        <w:rPr>
          <w:rFonts w:ascii="Times New Roman" w:hAnsi="Times New Roman" w:cs="Times New Roman"/>
          <w:sz w:val="24"/>
          <w:szCs w:val="24"/>
        </w:rPr>
        <w:t xml:space="preserve"> Ini berarti bahwa sebesar 13</w:t>
      </w:r>
      <w:proofErr w:type="gramStart"/>
      <w:r w:rsidRPr="00A26BC2">
        <w:rPr>
          <w:rFonts w:ascii="Times New Roman" w:hAnsi="Times New Roman" w:cs="Times New Roman"/>
          <w:sz w:val="24"/>
          <w:szCs w:val="24"/>
        </w:rPr>
        <w:t>,7</w:t>
      </w:r>
      <w:proofErr w:type="gramEnd"/>
      <w:r w:rsidRPr="00A26BC2">
        <w:rPr>
          <w:rFonts w:ascii="Times New Roman" w:hAnsi="Times New Roman" w:cs="Times New Roman"/>
          <w:sz w:val="24"/>
          <w:szCs w:val="24"/>
        </w:rPr>
        <w:t xml:space="preserve">% variasi dalam variabel dependen, yaitu penghindaran pajak, dapat dijelaskan oleh kombinasi dari tiga variabel independen yaitu ukuran perusahaan, profitabilitas, dan tingkat utang. </w:t>
      </w:r>
    </w:p>
    <w:p w:rsidR="00A5167D" w:rsidRDefault="00A5167D" w:rsidP="00A5167D">
      <w:pPr>
        <w:pStyle w:val="Heading4"/>
      </w:pPr>
      <w:r>
        <w:lastRenderedPageBreak/>
        <w:t>4.2.4.2 Uji Signifikan Parameter Individual (Uji t)</w:t>
      </w:r>
    </w:p>
    <w:p w:rsidR="00A5167D" w:rsidRDefault="00A5167D" w:rsidP="00A5167D">
      <w:pPr>
        <w:spacing w:line="480" w:lineRule="auto"/>
        <w:ind w:firstLine="720"/>
        <w:jc w:val="both"/>
        <w:rPr>
          <w:rFonts w:ascii="Times New Roman" w:hAnsi="Times New Roman" w:cs="Times New Roman"/>
          <w:sz w:val="24"/>
          <w:szCs w:val="24"/>
          <w:lang w:val="id-ID"/>
        </w:rPr>
      </w:pPr>
      <w:proofErr w:type="gramStart"/>
      <w:r w:rsidRPr="00954F16">
        <w:rPr>
          <w:rFonts w:ascii="Times New Roman" w:hAnsi="Times New Roman" w:cs="Times New Roman"/>
          <w:sz w:val="24"/>
          <w:szCs w:val="24"/>
        </w:rPr>
        <w:t>Uji t merupakan metode analisis statistik yang bertujuan untuk menguji signifikansi pengaruh masing-masing variabel independen terhadap variabel dependen dalam suatu model regresi.</w:t>
      </w:r>
      <w:proofErr w:type="gramEnd"/>
      <w:r w:rsidRPr="00954F16">
        <w:rPr>
          <w:rFonts w:ascii="Times New Roman" w:hAnsi="Times New Roman" w:cs="Times New Roman"/>
          <w:sz w:val="24"/>
          <w:szCs w:val="24"/>
        </w:rPr>
        <w:t xml:space="preserve"> </w:t>
      </w:r>
      <w:proofErr w:type="gramStart"/>
      <w:r w:rsidRPr="00954F16">
        <w:rPr>
          <w:rFonts w:ascii="Times New Roman" w:hAnsi="Times New Roman" w:cs="Times New Roman"/>
          <w:sz w:val="24"/>
          <w:szCs w:val="24"/>
        </w:rPr>
        <w:t>Pengujian ini dilakukan guna mengetahui apakah setiap variabel independen memiliki pengaruh yang signifikan secara parsial terhadap variabel dependen.</w:t>
      </w:r>
      <w:proofErr w:type="gramEnd"/>
    </w:p>
    <w:p w:rsidR="00A5167D" w:rsidRPr="00A5167D" w:rsidRDefault="00A5167D" w:rsidP="00A5167D">
      <w:pPr>
        <w:spacing w:line="480" w:lineRule="auto"/>
        <w:ind w:firstLine="720"/>
        <w:jc w:val="both"/>
        <w:rPr>
          <w:rFonts w:ascii="Times New Roman" w:hAnsi="Times New Roman" w:cs="Times New Roman"/>
          <w:sz w:val="24"/>
          <w:szCs w:val="24"/>
          <w:lang w:val="id-ID"/>
        </w:rPr>
      </w:pPr>
    </w:p>
    <w:p w:rsidR="00A5167D" w:rsidRDefault="00A5167D" w:rsidP="00A5167D">
      <w:pPr>
        <w:pStyle w:val="Caption"/>
        <w:jc w:val="center"/>
        <w:rPr>
          <w:rFonts w:ascii="Times New Roman" w:hAnsi="Times New Roman" w:cs="Times New Roman"/>
          <w:b/>
          <w:bCs/>
          <w:i w:val="0"/>
          <w:iCs w:val="0"/>
          <w:color w:val="auto"/>
          <w:sz w:val="24"/>
          <w:szCs w:val="24"/>
        </w:rPr>
      </w:pPr>
      <w:bookmarkStart w:id="27" w:name="_Toc202720443"/>
      <w:proofErr w:type="gramStart"/>
      <w:r w:rsidRPr="001D487B">
        <w:rPr>
          <w:rFonts w:ascii="Times New Roman" w:hAnsi="Times New Roman" w:cs="Times New Roman"/>
          <w:b/>
          <w:bCs/>
          <w:i w:val="0"/>
          <w:iCs w:val="0"/>
          <w:color w:val="auto"/>
          <w:sz w:val="24"/>
          <w:szCs w:val="24"/>
        </w:rPr>
        <w:t>Tabel 4.</w:t>
      </w:r>
      <w:proofErr w:type="gramEnd"/>
      <w:r w:rsidRPr="001D487B">
        <w:rPr>
          <w:rFonts w:ascii="Times New Roman" w:hAnsi="Times New Roman" w:cs="Times New Roman"/>
          <w:b/>
          <w:bCs/>
          <w:i w:val="0"/>
          <w:iCs w:val="0"/>
          <w:color w:val="auto"/>
          <w:sz w:val="24"/>
          <w:szCs w:val="24"/>
        </w:rPr>
        <w:t xml:space="preserve"> </w:t>
      </w:r>
      <w:r w:rsidRPr="001D487B">
        <w:rPr>
          <w:rFonts w:ascii="Times New Roman" w:hAnsi="Times New Roman" w:cs="Times New Roman"/>
          <w:b/>
          <w:bCs/>
          <w:i w:val="0"/>
          <w:iCs w:val="0"/>
          <w:color w:val="auto"/>
          <w:sz w:val="24"/>
          <w:szCs w:val="24"/>
        </w:rPr>
        <w:fldChar w:fldCharType="begin"/>
      </w:r>
      <w:r w:rsidRPr="001D487B">
        <w:rPr>
          <w:rFonts w:ascii="Times New Roman" w:hAnsi="Times New Roman" w:cs="Times New Roman"/>
          <w:b/>
          <w:bCs/>
          <w:i w:val="0"/>
          <w:iCs w:val="0"/>
          <w:color w:val="auto"/>
          <w:sz w:val="24"/>
          <w:szCs w:val="24"/>
        </w:rPr>
        <w:instrText xml:space="preserve"> SEQ Tabel_4. \* ARABIC </w:instrText>
      </w:r>
      <w:r w:rsidRPr="001D487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1D487B">
        <w:rPr>
          <w:rFonts w:ascii="Times New Roman" w:hAnsi="Times New Roman" w:cs="Times New Roman"/>
          <w:b/>
          <w:bCs/>
          <w:i w:val="0"/>
          <w:iCs w:val="0"/>
          <w:color w:val="auto"/>
          <w:sz w:val="24"/>
          <w:szCs w:val="24"/>
        </w:rPr>
        <w:fldChar w:fldCharType="end"/>
      </w:r>
      <w:r w:rsidRPr="001D487B">
        <w:rPr>
          <w:rFonts w:ascii="Times New Roman" w:hAnsi="Times New Roman" w:cs="Times New Roman"/>
          <w:b/>
          <w:bCs/>
          <w:i w:val="0"/>
          <w:iCs w:val="0"/>
          <w:color w:val="auto"/>
          <w:sz w:val="24"/>
          <w:szCs w:val="24"/>
        </w:rPr>
        <w:t xml:space="preserve"> </w:t>
      </w:r>
    </w:p>
    <w:p w:rsidR="00A5167D" w:rsidRPr="001D487B" w:rsidRDefault="00A5167D" w:rsidP="00A5167D">
      <w:pPr>
        <w:pStyle w:val="Caption"/>
        <w:jc w:val="center"/>
        <w:rPr>
          <w:rFonts w:ascii="Times New Roman" w:hAnsi="Times New Roman" w:cs="Times New Roman"/>
          <w:b/>
          <w:bCs/>
          <w:i w:val="0"/>
          <w:iCs w:val="0"/>
          <w:color w:val="auto"/>
          <w:sz w:val="24"/>
          <w:szCs w:val="24"/>
        </w:rPr>
      </w:pPr>
      <w:r w:rsidRPr="001D487B">
        <w:rPr>
          <w:rFonts w:ascii="Times New Roman" w:hAnsi="Times New Roman" w:cs="Times New Roman"/>
          <w:b/>
          <w:bCs/>
          <w:i w:val="0"/>
          <w:iCs w:val="0"/>
          <w:color w:val="auto"/>
          <w:sz w:val="24"/>
          <w:szCs w:val="24"/>
        </w:rPr>
        <w:t>Hasil Uji Statistik t</w:t>
      </w:r>
      <w:bookmarkEnd w:id="27"/>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0"/>
        <w:gridCol w:w="1824"/>
        <w:gridCol w:w="1219"/>
        <w:gridCol w:w="1221"/>
        <w:gridCol w:w="1346"/>
        <w:gridCol w:w="939"/>
        <w:gridCol w:w="1003"/>
      </w:tblGrid>
      <w:tr w:rsidR="00A5167D" w:rsidRPr="00D146E8" w:rsidTr="00471759">
        <w:trPr>
          <w:cantSplit/>
          <w:trHeight w:val="67"/>
        </w:trPr>
        <w:tc>
          <w:tcPr>
            <w:tcW w:w="8222" w:type="dxa"/>
            <w:gridSpan w:val="7"/>
            <w:shd w:val="clear" w:color="auto" w:fill="FFFFFF"/>
            <w:vAlign w:val="center"/>
          </w:tcPr>
          <w:p w:rsidR="00A5167D" w:rsidRPr="00D146E8" w:rsidRDefault="00A5167D" w:rsidP="00471759">
            <w:pPr>
              <w:jc w:val="center"/>
            </w:pPr>
            <w:r w:rsidRPr="00D146E8">
              <w:rPr>
                <w:b/>
                <w:bCs/>
              </w:rPr>
              <w:t>Coefficients</w:t>
            </w:r>
            <w:r w:rsidRPr="00D146E8">
              <w:rPr>
                <w:b/>
                <w:bCs/>
                <w:vertAlign w:val="superscript"/>
              </w:rPr>
              <w:t>a</w:t>
            </w:r>
          </w:p>
        </w:tc>
      </w:tr>
      <w:tr w:rsidR="00A5167D" w:rsidRPr="00D146E8" w:rsidTr="00471759">
        <w:trPr>
          <w:cantSplit/>
          <w:trHeight w:val="114"/>
        </w:trPr>
        <w:tc>
          <w:tcPr>
            <w:tcW w:w="2494" w:type="dxa"/>
            <w:gridSpan w:val="2"/>
            <w:vMerge w:val="restart"/>
            <w:shd w:val="clear" w:color="auto" w:fill="FFFFFF"/>
            <w:vAlign w:val="center"/>
          </w:tcPr>
          <w:p w:rsidR="00A5167D" w:rsidRPr="00D146E8" w:rsidRDefault="00A5167D" w:rsidP="00471759">
            <w:pPr>
              <w:jc w:val="center"/>
            </w:pPr>
            <w:r w:rsidRPr="00D146E8">
              <w:t>Model</w:t>
            </w:r>
          </w:p>
        </w:tc>
        <w:tc>
          <w:tcPr>
            <w:tcW w:w="2440" w:type="dxa"/>
            <w:gridSpan w:val="2"/>
            <w:shd w:val="clear" w:color="auto" w:fill="FFFFFF"/>
            <w:vAlign w:val="bottom"/>
          </w:tcPr>
          <w:p w:rsidR="00A5167D" w:rsidRPr="00D146E8" w:rsidRDefault="00A5167D" w:rsidP="00471759">
            <w:pPr>
              <w:jc w:val="center"/>
            </w:pPr>
            <w:r w:rsidRPr="00D146E8">
              <w:t>Unstandardized Coefficients</w:t>
            </w:r>
          </w:p>
        </w:tc>
        <w:tc>
          <w:tcPr>
            <w:tcW w:w="3288" w:type="dxa"/>
            <w:gridSpan w:val="3"/>
            <w:shd w:val="clear" w:color="auto" w:fill="FFFFFF"/>
            <w:vAlign w:val="bottom"/>
          </w:tcPr>
          <w:p w:rsidR="00A5167D" w:rsidRPr="00D146E8" w:rsidRDefault="00A5167D" w:rsidP="00471759">
            <w:pPr>
              <w:jc w:val="center"/>
            </w:pPr>
            <w:r w:rsidRPr="00D146E8">
              <w:t>Standardized Coefficients</w:t>
            </w:r>
          </w:p>
        </w:tc>
      </w:tr>
      <w:tr w:rsidR="00A5167D" w:rsidRPr="00D146E8" w:rsidTr="00471759">
        <w:trPr>
          <w:cantSplit/>
          <w:trHeight w:val="19"/>
        </w:trPr>
        <w:tc>
          <w:tcPr>
            <w:tcW w:w="2494" w:type="dxa"/>
            <w:gridSpan w:val="2"/>
            <w:vMerge/>
            <w:shd w:val="clear" w:color="auto" w:fill="FFFFFF"/>
            <w:vAlign w:val="bottom"/>
          </w:tcPr>
          <w:p w:rsidR="00A5167D" w:rsidRPr="00D146E8" w:rsidRDefault="00A5167D" w:rsidP="00471759">
            <w:pPr>
              <w:jc w:val="center"/>
            </w:pPr>
          </w:p>
        </w:tc>
        <w:tc>
          <w:tcPr>
            <w:tcW w:w="1219" w:type="dxa"/>
            <w:shd w:val="clear" w:color="auto" w:fill="FFFFFF"/>
            <w:vAlign w:val="bottom"/>
          </w:tcPr>
          <w:p w:rsidR="00A5167D" w:rsidRPr="00D146E8" w:rsidRDefault="00A5167D" w:rsidP="00471759">
            <w:pPr>
              <w:jc w:val="center"/>
            </w:pPr>
            <w:r w:rsidRPr="00D146E8">
              <w:t>B</w:t>
            </w:r>
          </w:p>
        </w:tc>
        <w:tc>
          <w:tcPr>
            <w:tcW w:w="1221" w:type="dxa"/>
            <w:shd w:val="clear" w:color="auto" w:fill="FFFFFF"/>
            <w:vAlign w:val="bottom"/>
          </w:tcPr>
          <w:p w:rsidR="00A5167D" w:rsidRPr="00D146E8" w:rsidRDefault="00A5167D" w:rsidP="00471759">
            <w:pPr>
              <w:jc w:val="center"/>
            </w:pPr>
            <w:r w:rsidRPr="00D146E8">
              <w:t>Std. Error</w:t>
            </w:r>
          </w:p>
        </w:tc>
        <w:tc>
          <w:tcPr>
            <w:tcW w:w="1346" w:type="dxa"/>
            <w:shd w:val="clear" w:color="auto" w:fill="FFFFFF"/>
            <w:vAlign w:val="bottom"/>
          </w:tcPr>
          <w:p w:rsidR="00A5167D" w:rsidRPr="00D146E8" w:rsidRDefault="00A5167D" w:rsidP="00471759">
            <w:pPr>
              <w:jc w:val="center"/>
            </w:pPr>
            <w:r w:rsidRPr="00D146E8">
              <w:t>Beta</w:t>
            </w:r>
          </w:p>
        </w:tc>
        <w:tc>
          <w:tcPr>
            <w:tcW w:w="939" w:type="dxa"/>
            <w:shd w:val="clear" w:color="auto" w:fill="FFFFFF"/>
            <w:vAlign w:val="bottom"/>
          </w:tcPr>
          <w:p w:rsidR="00A5167D" w:rsidRPr="00D146E8" w:rsidRDefault="00A5167D" w:rsidP="00471759">
            <w:pPr>
              <w:spacing w:line="278" w:lineRule="auto"/>
              <w:jc w:val="center"/>
            </w:pPr>
            <w:r w:rsidRPr="00D146E8">
              <w:t>T</w:t>
            </w:r>
          </w:p>
        </w:tc>
        <w:tc>
          <w:tcPr>
            <w:tcW w:w="1003" w:type="dxa"/>
            <w:shd w:val="clear" w:color="auto" w:fill="FFFFFF"/>
            <w:vAlign w:val="bottom"/>
          </w:tcPr>
          <w:p w:rsidR="00A5167D" w:rsidRPr="00D146E8" w:rsidRDefault="00A5167D" w:rsidP="00471759">
            <w:pPr>
              <w:spacing w:line="278" w:lineRule="auto"/>
              <w:jc w:val="center"/>
            </w:pPr>
            <w:r w:rsidRPr="00D146E8">
              <w:t>Sig.</w:t>
            </w:r>
          </w:p>
        </w:tc>
      </w:tr>
      <w:tr w:rsidR="00A5167D" w:rsidRPr="00D146E8" w:rsidTr="00471759">
        <w:trPr>
          <w:cantSplit/>
          <w:trHeight w:val="66"/>
        </w:trPr>
        <w:tc>
          <w:tcPr>
            <w:tcW w:w="670" w:type="dxa"/>
            <w:vMerge w:val="restart"/>
            <w:shd w:val="clear" w:color="auto" w:fill="auto"/>
          </w:tcPr>
          <w:p w:rsidR="00A5167D" w:rsidRPr="00D146E8" w:rsidRDefault="00A5167D" w:rsidP="00471759">
            <w:r w:rsidRPr="00D146E8">
              <w:t>1</w:t>
            </w:r>
          </w:p>
        </w:tc>
        <w:tc>
          <w:tcPr>
            <w:tcW w:w="1824" w:type="dxa"/>
            <w:shd w:val="clear" w:color="auto" w:fill="auto"/>
          </w:tcPr>
          <w:p w:rsidR="00A5167D" w:rsidRPr="00D146E8" w:rsidRDefault="00A5167D" w:rsidP="00471759">
            <w:r w:rsidRPr="00D146E8">
              <w:t>(Constant)</w:t>
            </w:r>
          </w:p>
        </w:tc>
        <w:tc>
          <w:tcPr>
            <w:tcW w:w="1219" w:type="dxa"/>
            <w:shd w:val="clear" w:color="auto" w:fill="FFFFFF"/>
          </w:tcPr>
          <w:p w:rsidR="00A5167D" w:rsidRPr="00D146E8" w:rsidRDefault="00A5167D" w:rsidP="00471759">
            <w:pPr>
              <w:jc w:val="right"/>
            </w:pPr>
            <w:r w:rsidRPr="00D146E8">
              <w:t>17.006</w:t>
            </w:r>
          </w:p>
        </w:tc>
        <w:tc>
          <w:tcPr>
            <w:tcW w:w="1221" w:type="dxa"/>
            <w:shd w:val="clear" w:color="auto" w:fill="FFFFFF"/>
          </w:tcPr>
          <w:p w:rsidR="00A5167D" w:rsidRPr="00D146E8" w:rsidRDefault="00A5167D" w:rsidP="00471759">
            <w:pPr>
              <w:jc w:val="right"/>
            </w:pPr>
            <w:r w:rsidRPr="00D146E8">
              <w:t>3.446</w:t>
            </w:r>
          </w:p>
        </w:tc>
        <w:tc>
          <w:tcPr>
            <w:tcW w:w="1346" w:type="dxa"/>
            <w:shd w:val="clear" w:color="auto" w:fill="FFFFFF"/>
            <w:vAlign w:val="center"/>
          </w:tcPr>
          <w:p w:rsidR="00A5167D" w:rsidRPr="00D146E8" w:rsidRDefault="00A5167D" w:rsidP="00471759">
            <w:pPr>
              <w:jc w:val="right"/>
            </w:pPr>
          </w:p>
        </w:tc>
        <w:tc>
          <w:tcPr>
            <w:tcW w:w="939" w:type="dxa"/>
            <w:shd w:val="clear" w:color="auto" w:fill="FFFFFF"/>
          </w:tcPr>
          <w:p w:rsidR="00A5167D" w:rsidRPr="00D146E8" w:rsidRDefault="00A5167D" w:rsidP="00471759">
            <w:pPr>
              <w:jc w:val="right"/>
            </w:pPr>
            <w:r w:rsidRPr="00D146E8">
              <w:t>4.934</w:t>
            </w:r>
          </w:p>
        </w:tc>
        <w:tc>
          <w:tcPr>
            <w:tcW w:w="1003" w:type="dxa"/>
            <w:shd w:val="clear" w:color="auto" w:fill="FFFFFF"/>
          </w:tcPr>
          <w:p w:rsidR="00A5167D" w:rsidRPr="00D146E8" w:rsidRDefault="00A5167D" w:rsidP="00471759">
            <w:pPr>
              <w:jc w:val="right"/>
            </w:pPr>
            <w:r w:rsidRPr="00D146E8">
              <w:t>.000</w:t>
            </w:r>
          </w:p>
        </w:tc>
      </w:tr>
      <w:tr w:rsidR="00A5167D" w:rsidRPr="00D146E8" w:rsidTr="00471759">
        <w:trPr>
          <w:cantSplit/>
          <w:trHeight w:val="19"/>
        </w:trPr>
        <w:tc>
          <w:tcPr>
            <w:tcW w:w="670" w:type="dxa"/>
            <w:vMerge/>
            <w:shd w:val="clear" w:color="auto" w:fill="auto"/>
          </w:tcPr>
          <w:p w:rsidR="00A5167D" w:rsidRPr="00D146E8" w:rsidRDefault="00A5167D" w:rsidP="00471759"/>
        </w:tc>
        <w:tc>
          <w:tcPr>
            <w:tcW w:w="1824" w:type="dxa"/>
            <w:shd w:val="clear" w:color="auto" w:fill="auto"/>
          </w:tcPr>
          <w:p w:rsidR="00A5167D" w:rsidRPr="00D146E8" w:rsidRDefault="00A5167D" w:rsidP="00471759">
            <w:r w:rsidRPr="00D146E8">
              <w:t>Tingkat Utang</w:t>
            </w:r>
          </w:p>
        </w:tc>
        <w:tc>
          <w:tcPr>
            <w:tcW w:w="1219" w:type="dxa"/>
            <w:shd w:val="clear" w:color="auto" w:fill="FFFFFF"/>
          </w:tcPr>
          <w:p w:rsidR="00A5167D" w:rsidRPr="00D146E8" w:rsidRDefault="00A5167D" w:rsidP="00471759">
            <w:pPr>
              <w:jc w:val="right"/>
            </w:pPr>
            <w:r w:rsidRPr="00D146E8">
              <w:t>-.016</w:t>
            </w:r>
          </w:p>
        </w:tc>
        <w:tc>
          <w:tcPr>
            <w:tcW w:w="1221" w:type="dxa"/>
            <w:shd w:val="clear" w:color="auto" w:fill="FFFFFF"/>
          </w:tcPr>
          <w:p w:rsidR="00A5167D" w:rsidRPr="00D146E8" w:rsidRDefault="00A5167D" w:rsidP="00471759">
            <w:pPr>
              <w:jc w:val="right"/>
            </w:pPr>
            <w:r w:rsidRPr="00D146E8">
              <w:t>.016</w:t>
            </w:r>
          </w:p>
        </w:tc>
        <w:tc>
          <w:tcPr>
            <w:tcW w:w="1346" w:type="dxa"/>
            <w:shd w:val="clear" w:color="auto" w:fill="FFFFFF"/>
          </w:tcPr>
          <w:p w:rsidR="00A5167D" w:rsidRPr="00D146E8" w:rsidRDefault="00A5167D" w:rsidP="00471759">
            <w:pPr>
              <w:jc w:val="right"/>
            </w:pPr>
            <w:r w:rsidRPr="00D146E8">
              <w:t>-.139</w:t>
            </w:r>
          </w:p>
        </w:tc>
        <w:tc>
          <w:tcPr>
            <w:tcW w:w="939" w:type="dxa"/>
            <w:shd w:val="clear" w:color="auto" w:fill="FFFFFF"/>
          </w:tcPr>
          <w:p w:rsidR="00A5167D" w:rsidRPr="00D146E8" w:rsidRDefault="00A5167D" w:rsidP="00471759">
            <w:pPr>
              <w:jc w:val="right"/>
            </w:pPr>
            <w:r w:rsidRPr="00D146E8">
              <w:t>-1.045</w:t>
            </w:r>
          </w:p>
        </w:tc>
        <w:tc>
          <w:tcPr>
            <w:tcW w:w="1003" w:type="dxa"/>
            <w:shd w:val="clear" w:color="auto" w:fill="FFFFFF"/>
          </w:tcPr>
          <w:p w:rsidR="00A5167D" w:rsidRPr="00D146E8" w:rsidRDefault="00A5167D" w:rsidP="00471759">
            <w:pPr>
              <w:jc w:val="right"/>
            </w:pPr>
            <w:r w:rsidRPr="00D146E8">
              <w:t>.300</w:t>
            </w:r>
          </w:p>
        </w:tc>
      </w:tr>
      <w:tr w:rsidR="00A5167D" w:rsidRPr="00D146E8" w:rsidTr="00471759">
        <w:trPr>
          <w:cantSplit/>
          <w:trHeight w:val="19"/>
        </w:trPr>
        <w:tc>
          <w:tcPr>
            <w:tcW w:w="670" w:type="dxa"/>
            <w:vMerge/>
            <w:shd w:val="clear" w:color="auto" w:fill="auto"/>
          </w:tcPr>
          <w:p w:rsidR="00A5167D" w:rsidRPr="00D146E8" w:rsidRDefault="00A5167D" w:rsidP="00471759"/>
        </w:tc>
        <w:tc>
          <w:tcPr>
            <w:tcW w:w="1824" w:type="dxa"/>
            <w:shd w:val="clear" w:color="auto" w:fill="auto"/>
          </w:tcPr>
          <w:p w:rsidR="00A5167D" w:rsidRPr="00D146E8" w:rsidRDefault="00A5167D" w:rsidP="00471759">
            <w:r w:rsidRPr="00D146E8">
              <w:t>profitabilitas</w:t>
            </w:r>
          </w:p>
        </w:tc>
        <w:tc>
          <w:tcPr>
            <w:tcW w:w="1219" w:type="dxa"/>
            <w:shd w:val="clear" w:color="auto" w:fill="FFFFFF"/>
          </w:tcPr>
          <w:p w:rsidR="00A5167D" w:rsidRPr="00D146E8" w:rsidRDefault="00A5167D" w:rsidP="00471759">
            <w:pPr>
              <w:jc w:val="right"/>
            </w:pPr>
            <w:r w:rsidRPr="00D146E8">
              <w:t>-.100</w:t>
            </w:r>
          </w:p>
        </w:tc>
        <w:tc>
          <w:tcPr>
            <w:tcW w:w="1221" w:type="dxa"/>
            <w:shd w:val="clear" w:color="auto" w:fill="FFFFFF"/>
          </w:tcPr>
          <w:p w:rsidR="00A5167D" w:rsidRPr="00D146E8" w:rsidRDefault="00A5167D" w:rsidP="00471759">
            <w:pPr>
              <w:jc w:val="right"/>
            </w:pPr>
            <w:r w:rsidRPr="00D146E8">
              <w:t>.040</w:t>
            </w:r>
          </w:p>
        </w:tc>
        <w:tc>
          <w:tcPr>
            <w:tcW w:w="1346" w:type="dxa"/>
            <w:shd w:val="clear" w:color="auto" w:fill="FFFFFF"/>
          </w:tcPr>
          <w:p w:rsidR="00A5167D" w:rsidRPr="00D146E8" w:rsidRDefault="00A5167D" w:rsidP="00471759">
            <w:pPr>
              <w:jc w:val="right"/>
            </w:pPr>
            <w:r w:rsidRPr="00D146E8">
              <w:t>-.320</w:t>
            </w:r>
          </w:p>
        </w:tc>
        <w:tc>
          <w:tcPr>
            <w:tcW w:w="939" w:type="dxa"/>
            <w:shd w:val="clear" w:color="auto" w:fill="FFFFFF"/>
          </w:tcPr>
          <w:p w:rsidR="00A5167D" w:rsidRPr="00D146E8" w:rsidRDefault="00A5167D" w:rsidP="00471759">
            <w:pPr>
              <w:jc w:val="right"/>
            </w:pPr>
            <w:r w:rsidRPr="00D146E8">
              <w:t>-2.494</w:t>
            </w:r>
          </w:p>
        </w:tc>
        <w:tc>
          <w:tcPr>
            <w:tcW w:w="1003" w:type="dxa"/>
            <w:shd w:val="clear" w:color="auto" w:fill="FFFFFF"/>
          </w:tcPr>
          <w:p w:rsidR="00A5167D" w:rsidRPr="00D146E8" w:rsidRDefault="00A5167D" w:rsidP="00471759">
            <w:pPr>
              <w:jc w:val="right"/>
            </w:pPr>
            <w:r w:rsidRPr="00D146E8">
              <w:t>.015</w:t>
            </w:r>
          </w:p>
        </w:tc>
      </w:tr>
      <w:tr w:rsidR="00A5167D" w:rsidRPr="00D146E8" w:rsidTr="00471759">
        <w:trPr>
          <w:cantSplit/>
          <w:trHeight w:val="19"/>
        </w:trPr>
        <w:tc>
          <w:tcPr>
            <w:tcW w:w="670" w:type="dxa"/>
            <w:vMerge/>
            <w:shd w:val="clear" w:color="auto" w:fill="auto"/>
          </w:tcPr>
          <w:p w:rsidR="00A5167D" w:rsidRPr="00D146E8" w:rsidRDefault="00A5167D" w:rsidP="00471759"/>
        </w:tc>
        <w:tc>
          <w:tcPr>
            <w:tcW w:w="1824" w:type="dxa"/>
            <w:shd w:val="clear" w:color="auto" w:fill="auto"/>
          </w:tcPr>
          <w:p w:rsidR="00A5167D" w:rsidRPr="00D146E8" w:rsidRDefault="00A5167D" w:rsidP="00471759">
            <w:r w:rsidRPr="00D146E8">
              <w:t>Ukuran Perusahaan</w:t>
            </w:r>
          </w:p>
        </w:tc>
        <w:tc>
          <w:tcPr>
            <w:tcW w:w="1219" w:type="dxa"/>
            <w:shd w:val="clear" w:color="auto" w:fill="FFFFFF"/>
          </w:tcPr>
          <w:p w:rsidR="00A5167D" w:rsidRPr="00D146E8" w:rsidRDefault="00A5167D" w:rsidP="00471759">
            <w:pPr>
              <w:jc w:val="right"/>
            </w:pPr>
            <w:r w:rsidRPr="00D146E8">
              <w:t>.237</w:t>
            </w:r>
          </w:p>
        </w:tc>
        <w:tc>
          <w:tcPr>
            <w:tcW w:w="1221" w:type="dxa"/>
            <w:shd w:val="clear" w:color="auto" w:fill="FFFFFF"/>
          </w:tcPr>
          <w:p w:rsidR="00A5167D" w:rsidRPr="00D146E8" w:rsidRDefault="00A5167D" w:rsidP="00471759">
            <w:pPr>
              <w:jc w:val="right"/>
            </w:pPr>
            <w:r w:rsidRPr="00D146E8">
              <w:t>.119</w:t>
            </w:r>
          </w:p>
        </w:tc>
        <w:tc>
          <w:tcPr>
            <w:tcW w:w="1346" w:type="dxa"/>
            <w:shd w:val="clear" w:color="auto" w:fill="FFFFFF"/>
          </w:tcPr>
          <w:p w:rsidR="00A5167D" w:rsidRPr="00D146E8" w:rsidRDefault="00A5167D" w:rsidP="00471759">
            <w:pPr>
              <w:jc w:val="right"/>
            </w:pPr>
            <w:r w:rsidRPr="00D146E8">
              <w:t>.231</w:t>
            </w:r>
          </w:p>
        </w:tc>
        <w:tc>
          <w:tcPr>
            <w:tcW w:w="939" w:type="dxa"/>
            <w:shd w:val="clear" w:color="auto" w:fill="FFFFFF"/>
          </w:tcPr>
          <w:p w:rsidR="00A5167D" w:rsidRPr="00D146E8" w:rsidRDefault="00A5167D" w:rsidP="00471759">
            <w:pPr>
              <w:jc w:val="right"/>
            </w:pPr>
            <w:r w:rsidRPr="00D146E8">
              <w:t>1.994</w:t>
            </w:r>
          </w:p>
        </w:tc>
        <w:tc>
          <w:tcPr>
            <w:tcW w:w="1003" w:type="dxa"/>
            <w:shd w:val="clear" w:color="auto" w:fill="FFFFFF"/>
          </w:tcPr>
          <w:p w:rsidR="00A5167D" w:rsidRPr="00D146E8" w:rsidRDefault="00A5167D" w:rsidP="00471759">
            <w:pPr>
              <w:jc w:val="right"/>
            </w:pPr>
            <w:r w:rsidRPr="00D146E8">
              <w:t>.050</w:t>
            </w:r>
          </w:p>
        </w:tc>
      </w:tr>
      <w:tr w:rsidR="00A5167D" w:rsidRPr="00D146E8" w:rsidTr="00471759">
        <w:trPr>
          <w:cantSplit/>
          <w:trHeight w:val="66"/>
        </w:trPr>
        <w:tc>
          <w:tcPr>
            <w:tcW w:w="8222" w:type="dxa"/>
            <w:gridSpan w:val="7"/>
            <w:shd w:val="clear" w:color="auto" w:fill="FFFFFF"/>
          </w:tcPr>
          <w:p w:rsidR="00A5167D" w:rsidRPr="00D146E8" w:rsidRDefault="00A5167D" w:rsidP="00471759">
            <w:r w:rsidRPr="00D146E8">
              <w:t>a. Dependent Variable: Penghindaran Pajak</w:t>
            </w:r>
          </w:p>
        </w:tc>
      </w:tr>
    </w:tbl>
    <w:p w:rsidR="00A5167D" w:rsidRDefault="00A5167D" w:rsidP="00A5167D">
      <w:pPr>
        <w:spacing w:line="480" w:lineRule="auto"/>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Default="00A5167D" w:rsidP="00A5167D">
      <w:pPr>
        <w:spacing w:line="480" w:lineRule="auto"/>
        <w:ind w:firstLine="720"/>
        <w:jc w:val="both"/>
        <w:rPr>
          <w:rFonts w:ascii="Times New Roman" w:hAnsi="Times New Roman" w:cs="Times New Roman"/>
          <w:sz w:val="24"/>
          <w:szCs w:val="24"/>
        </w:rPr>
      </w:pPr>
      <w:proofErr w:type="gramStart"/>
      <w:r w:rsidRPr="00FE787F">
        <w:rPr>
          <w:rFonts w:ascii="Times New Roman" w:hAnsi="Times New Roman" w:cs="Times New Roman"/>
          <w:sz w:val="24"/>
          <w:szCs w:val="24"/>
        </w:rPr>
        <w:t>Uji t digunakan dalam regresi linier berganda untuk menilai pengaruh masing-masing variabel independen terhadap variabel dependen secara parsial atau individual.</w:t>
      </w:r>
      <w:proofErr w:type="gramEnd"/>
      <w:r w:rsidRPr="00FE787F">
        <w:rPr>
          <w:rFonts w:ascii="Times New Roman" w:hAnsi="Times New Roman" w:cs="Times New Roman"/>
          <w:sz w:val="24"/>
          <w:szCs w:val="24"/>
        </w:rPr>
        <w:t xml:space="preserve"> Tabel di atas menunjukkan hasil uji t dari tiga variabel independen terhadap variabel </w:t>
      </w:r>
      <w:proofErr w:type="gramStart"/>
      <w:r w:rsidRPr="00FE787F">
        <w:rPr>
          <w:rFonts w:ascii="Times New Roman" w:hAnsi="Times New Roman" w:cs="Times New Roman"/>
          <w:sz w:val="24"/>
          <w:szCs w:val="24"/>
        </w:rPr>
        <w:t>dependen  penghindaran</w:t>
      </w:r>
      <w:proofErr w:type="gramEnd"/>
      <w:r w:rsidRPr="00FE787F">
        <w:rPr>
          <w:rFonts w:ascii="Times New Roman" w:hAnsi="Times New Roman" w:cs="Times New Roman"/>
          <w:sz w:val="24"/>
          <w:szCs w:val="24"/>
        </w:rPr>
        <w:t xml:space="preserve"> pajak</w:t>
      </w:r>
      <w:r>
        <w:rPr>
          <w:rFonts w:ascii="Times New Roman" w:hAnsi="Times New Roman" w:cs="Times New Roman"/>
          <w:sz w:val="24"/>
          <w:szCs w:val="24"/>
        </w:rPr>
        <w:t xml:space="preserve"> sebagai berikut:</w:t>
      </w:r>
    </w:p>
    <w:p w:rsidR="00A5167D" w:rsidRDefault="00A5167D" w:rsidP="00A5167D">
      <w:pPr>
        <w:pStyle w:val="ListParagraph"/>
        <w:numPr>
          <w:ilvl w:val="0"/>
          <w:numId w:val="3"/>
        </w:numPr>
        <w:spacing w:line="480" w:lineRule="auto"/>
        <w:jc w:val="both"/>
        <w:rPr>
          <w:rFonts w:ascii="Times New Roman" w:hAnsi="Times New Roman" w:cs="Times New Roman"/>
          <w:sz w:val="24"/>
          <w:szCs w:val="24"/>
        </w:rPr>
      </w:pPr>
      <w:proofErr w:type="gramStart"/>
      <w:r w:rsidRPr="00541979">
        <w:rPr>
          <w:rFonts w:ascii="Times New Roman" w:hAnsi="Times New Roman" w:cs="Times New Roman"/>
          <w:sz w:val="24"/>
          <w:szCs w:val="24"/>
        </w:rPr>
        <w:t>variabel</w:t>
      </w:r>
      <w:proofErr w:type="gramEnd"/>
      <w:r w:rsidRPr="00541979">
        <w:rPr>
          <w:rFonts w:ascii="Times New Roman" w:hAnsi="Times New Roman" w:cs="Times New Roman"/>
          <w:sz w:val="24"/>
          <w:szCs w:val="24"/>
        </w:rPr>
        <w:t xml:space="preserve"> </w:t>
      </w:r>
      <w:r w:rsidRPr="00B9492D">
        <w:rPr>
          <w:rFonts w:ascii="Times New Roman" w:hAnsi="Times New Roman" w:cs="Times New Roman"/>
          <w:sz w:val="24"/>
          <w:szCs w:val="24"/>
        </w:rPr>
        <w:t>tingkat utang</w:t>
      </w:r>
      <w:r w:rsidRPr="00541979">
        <w:rPr>
          <w:rFonts w:ascii="Times New Roman" w:hAnsi="Times New Roman" w:cs="Times New Roman"/>
          <w:sz w:val="24"/>
          <w:szCs w:val="24"/>
        </w:rPr>
        <w:t xml:space="preserve"> memiliki nilai koefisien sebesar -0,016 dengan nilai signifikansi sebesar 0,300. Karena nilai signifikansi tersebut lebih besar dari 0</w:t>
      </w:r>
      <w:proofErr w:type="gramStart"/>
      <w:r w:rsidRPr="00541979">
        <w:rPr>
          <w:rFonts w:ascii="Times New Roman" w:hAnsi="Times New Roman" w:cs="Times New Roman"/>
          <w:sz w:val="24"/>
          <w:szCs w:val="24"/>
        </w:rPr>
        <w:t>,05</w:t>
      </w:r>
      <w:proofErr w:type="gramEnd"/>
      <w:r w:rsidRPr="00541979">
        <w:rPr>
          <w:rFonts w:ascii="Times New Roman" w:hAnsi="Times New Roman" w:cs="Times New Roman"/>
          <w:sz w:val="24"/>
          <w:szCs w:val="24"/>
        </w:rPr>
        <w:t xml:space="preserve">, maka dapat disimpulkan bahwa tingkat utang tidak berpengaruh secara signifikan terhadap penghindaran pajak. Hal ini mengindikasikan bahwa perubahan dalam </w:t>
      </w:r>
      <w:r w:rsidRPr="00541979">
        <w:rPr>
          <w:rFonts w:ascii="Times New Roman" w:hAnsi="Times New Roman" w:cs="Times New Roman"/>
          <w:sz w:val="24"/>
          <w:szCs w:val="24"/>
        </w:rPr>
        <w:lastRenderedPageBreak/>
        <w:t>tingkat utang tidak cukup kuat untuk mempengaruhi perilaku perusahaan dalam melakukan penghindaran pajak dalam model yang digunakan.</w:t>
      </w:r>
    </w:p>
    <w:p w:rsidR="00A5167D" w:rsidRDefault="00A5167D" w:rsidP="00A5167D">
      <w:pPr>
        <w:pStyle w:val="ListParagraph"/>
        <w:numPr>
          <w:ilvl w:val="0"/>
          <w:numId w:val="3"/>
        </w:numPr>
        <w:spacing w:line="480" w:lineRule="auto"/>
        <w:jc w:val="both"/>
        <w:rPr>
          <w:rFonts w:ascii="Times New Roman" w:hAnsi="Times New Roman" w:cs="Times New Roman"/>
          <w:sz w:val="24"/>
          <w:szCs w:val="24"/>
        </w:rPr>
      </w:pPr>
      <w:proofErr w:type="gramStart"/>
      <w:r w:rsidRPr="00BA61C4">
        <w:rPr>
          <w:rFonts w:ascii="Times New Roman" w:hAnsi="Times New Roman" w:cs="Times New Roman"/>
          <w:sz w:val="24"/>
          <w:szCs w:val="24"/>
        </w:rPr>
        <w:t>variabel</w:t>
      </w:r>
      <w:proofErr w:type="gramEnd"/>
      <w:r w:rsidRPr="00BA61C4">
        <w:rPr>
          <w:rFonts w:ascii="Times New Roman" w:hAnsi="Times New Roman" w:cs="Times New Roman"/>
          <w:sz w:val="24"/>
          <w:szCs w:val="24"/>
        </w:rPr>
        <w:t xml:space="preserve"> profitabilitas memiliki nilai koefisien regresi -0,100 dan nilai signifikansi sebesar 0,015. Nilai ini lebih kecil dari batas signifikansi 0</w:t>
      </w:r>
      <w:proofErr w:type="gramStart"/>
      <w:r w:rsidRPr="00BA61C4">
        <w:rPr>
          <w:rFonts w:ascii="Times New Roman" w:hAnsi="Times New Roman" w:cs="Times New Roman"/>
          <w:sz w:val="24"/>
          <w:szCs w:val="24"/>
        </w:rPr>
        <w:t>,05</w:t>
      </w:r>
      <w:proofErr w:type="gramEnd"/>
      <w:r w:rsidRPr="00BA61C4">
        <w:rPr>
          <w:rFonts w:ascii="Times New Roman" w:hAnsi="Times New Roman" w:cs="Times New Roman"/>
          <w:sz w:val="24"/>
          <w:szCs w:val="24"/>
        </w:rPr>
        <w:t xml:space="preserve">, yang berarti bahwa profitabilitas berpengaruh secara signifikan terhadap penghindaran pajak. Nilai koefisien negatif menunjukkan bahwa semakin tinggi profitabilitas perusahaan, maka kecenderungan untuk melakukan penghindaran pajak semakin rendah. Hal ini dapat dijelaskan bahwa perusahaan yang </w:t>
      </w:r>
      <w:r w:rsidRPr="00BA61C4">
        <w:rPr>
          <w:rFonts w:ascii="Times New Roman" w:hAnsi="Times New Roman" w:cs="Times New Roman"/>
          <w:i/>
          <w:iCs/>
          <w:sz w:val="24"/>
          <w:szCs w:val="24"/>
        </w:rPr>
        <w:t>profitabel</w:t>
      </w:r>
      <w:r w:rsidRPr="00BA61C4">
        <w:rPr>
          <w:rFonts w:ascii="Times New Roman" w:hAnsi="Times New Roman" w:cs="Times New Roman"/>
          <w:sz w:val="24"/>
          <w:szCs w:val="24"/>
        </w:rPr>
        <w:t xml:space="preserve"> cenderung lebih patuh terhadap kewajiban perpajakan karena memiliki likuiditas yang lebih baik dan pengawasan lebih ketat dari otoritas pajak.</w:t>
      </w:r>
    </w:p>
    <w:p w:rsidR="00A5167D" w:rsidRDefault="00A5167D" w:rsidP="00A5167D">
      <w:pPr>
        <w:pStyle w:val="ListParagraph"/>
        <w:numPr>
          <w:ilvl w:val="0"/>
          <w:numId w:val="3"/>
        </w:numPr>
        <w:spacing w:line="480" w:lineRule="auto"/>
        <w:jc w:val="both"/>
        <w:rPr>
          <w:rFonts w:ascii="Times New Roman" w:hAnsi="Times New Roman" w:cs="Times New Roman"/>
          <w:sz w:val="24"/>
          <w:szCs w:val="24"/>
        </w:rPr>
      </w:pPr>
      <w:proofErr w:type="gramStart"/>
      <w:r w:rsidRPr="00C05D46">
        <w:rPr>
          <w:rFonts w:ascii="Times New Roman" w:hAnsi="Times New Roman" w:cs="Times New Roman"/>
          <w:b/>
          <w:bCs/>
          <w:sz w:val="24"/>
          <w:szCs w:val="24"/>
        </w:rPr>
        <w:t>ukuran</w:t>
      </w:r>
      <w:proofErr w:type="gramEnd"/>
      <w:r w:rsidRPr="00C05D46">
        <w:rPr>
          <w:rFonts w:ascii="Times New Roman" w:hAnsi="Times New Roman" w:cs="Times New Roman"/>
          <w:b/>
          <w:bCs/>
          <w:sz w:val="24"/>
          <w:szCs w:val="24"/>
        </w:rPr>
        <w:t xml:space="preserve"> perusahaan</w:t>
      </w:r>
      <w:r w:rsidRPr="00C05D46">
        <w:rPr>
          <w:rFonts w:ascii="Times New Roman" w:hAnsi="Times New Roman" w:cs="Times New Roman"/>
          <w:sz w:val="24"/>
          <w:szCs w:val="24"/>
        </w:rPr>
        <w:t xml:space="preserve"> memiliki koefisien positif sebesar 0,237 dan nilai signifikansi sebesar 0,050. Nilai ini berada tepat pada ambang batas signifikansi, sehingga dapat dikatakan bahwa ukuran perusahaan berpengaruh secara signifikan terhadap penghindaran pajak. </w:t>
      </w:r>
      <w:proofErr w:type="gramStart"/>
      <w:r w:rsidRPr="00C05D46">
        <w:rPr>
          <w:rFonts w:ascii="Times New Roman" w:hAnsi="Times New Roman" w:cs="Times New Roman"/>
          <w:sz w:val="24"/>
          <w:szCs w:val="24"/>
        </w:rPr>
        <w:t>semakin</w:t>
      </w:r>
      <w:proofErr w:type="gramEnd"/>
      <w:r w:rsidRPr="00C05D46">
        <w:rPr>
          <w:rFonts w:ascii="Times New Roman" w:hAnsi="Times New Roman" w:cs="Times New Roman"/>
          <w:sz w:val="24"/>
          <w:szCs w:val="24"/>
        </w:rPr>
        <w:t xml:space="preserve"> besar ukuran perusahaan, maka semakin tinggi kemungkinan perusahaan melakukan penghindaran pajak. </w:t>
      </w:r>
    </w:p>
    <w:p w:rsidR="00A5167D" w:rsidRDefault="00A5167D" w:rsidP="00A5167D">
      <w:pPr>
        <w:pStyle w:val="Heading4"/>
      </w:pPr>
      <w:r>
        <w:t>4.2.4.3 Uji Signifikan Simultan (Uji F)</w:t>
      </w:r>
    </w:p>
    <w:p w:rsidR="00A5167D" w:rsidRPr="00A5167D" w:rsidRDefault="00A5167D" w:rsidP="00A5167D">
      <w:pPr>
        <w:spacing w:line="480" w:lineRule="auto"/>
        <w:ind w:firstLine="720"/>
        <w:jc w:val="both"/>
        <w:rPr>
          <w:rFonts w:ascii="Times New Roman" w:hAnsi="Times New Roman" w:cs="Times New Roman"/>
          <w:sz w:val="24"/>
          <w:szCs w:val="24"/>
          <w:lang w:val="id-ID"/>
        </w:rPr>
      </w:pPr>
      <w:proofErr w:type="gramStart"/>
      <w:r w:rsidRPr="00923FD4">
        <w:rPr>
          <w:rFonts w:ascii="Times New Roman" w:hAnsi="Times New Roman" w:cs="Times New Roman"/>
          <w:sz w:val="24"/>
          <w:szCs w:val="24"/>
        </w:rPr>
        <w:t>Uji F dalam analisis regresi digunakan untuk mengevaluasi apakah model regresi secara keseluruhan layak atau signifikan untuk digunakan dalam menjelaskan hubungan antara variabel dependen dan seluruh variabel independen yang digunakan.</w:t>
      </w:r>
      <w:proofErr w:type="gramEnd"/>
    </w:p>
    <w:p w:rsidR="00A5167D" w:rsidRDefault="00A5167D" w:rsidP="00A5167D">
      <w:pPr>
        <w:pStyle w:val="Caption"/>
        <w:jc w:val="center"/>
        <w:rPr>
          <w:rFonts w:ascii="Times New Roman" w:hAnsi="Times New Roman" w:cs="Times New Roman"/>
          <w:b/>
          <w:bCs/>
          <w:i w:val="0"/>
          <w:iCs w:val="0"/>
          <w:color w:val="auto"/>
          <w:sz w:val="24"/>
          <w:szCs w:val="24"/>
        </w:rPr>
      </w:pPr>
      <w:bookmarkStart w:id="28" w:name="_Toc202720444"/>
      <w:proofErr w:type="gramStart"/>
      <w:r w:rsidRPr="001D487B">
        <w:rPr>
          <w:rFonts w:ascii="Times New Roman" w:hAnsi="Times New Roman" w:cs="Times New Roman"/>
          <w:b/>
          <w:bCs/>
          <w:i w:val="0"/>
          <w:iCs w:val="0"/>
          <w:color w:val="auto"/>
          <w:sz w:val="24"/>
          <w:szCs w:val="24"/>
        </w:rPr>
        <w:t>Tabel 4.</w:t>
      </w:r>
      <w:proofErr w:type="gramEnd"/>
      <w:r w:rsidRPr="001D487B">
        <w:rPr>
          <w:rFonts w:ascii="Times New Roman" w:hAnsi="Times New Roman" w:cs="Times New Roman"/>
          <w:b/>
          <w:bCs/>
          <w:i w:val="0"/>
          <w:iCs w:val="0"/>
          <w:color w:val="auto"/>
          <w:sz w:val="24"/>
          <w:szCs w:val="24"/>
        </w:rPr>
        <w:t xml:space="preserve"> </w:t>
      </w:r>
      <w:r w:rsidRPr="001D487B">
        <w:rPr>
          <w:rFonts w:ascii="Times New Roman" w:hAnsi="Times New Roman" w:cs="Times New Roman"/>
          <w:b/>
          <w:bCs/>
          <w:i w:val="0"/>
          <w:iCs w:val="0"/>
          <w:color w:val="auto"/>
          <w:sz w:val="24"/>
          <w:szCs w:val="24"/>
        </w:rPr>
        <w:fldChar w:fldCharType="begin"/>
      </w:r>
      <w:r w:rsidRPr="001D487B">
        <w:rPr>
          <w:rFonts w:ascii="Times New Roman" w:hAnsi="Times New Roman" w:cs="Times New Roman"/>
          <w:b/>
          <w:bCs/>
          <w:i w:val="0"/>
          <w:iCs w:val="0"/>
          <w:color w:val="auto"/>
          <w:sz w:val="24"/>
          <w:szCs w:val="24"/>
        </w:rPr>
        <w:instrText xml:space="preserve"> SEQ Tabel_4. \* ARABIC </w:instrText>
      </w:r>
      <w:r w:rsidRPr="001D487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Pr="001D487B">
        <w:rPr>
          <w:rFonts w:ascii="Times New Roman" w:hAnsi="Times New Roman" w:cs="Times New Roman"/>
          <w:b/>
          <w:bCs/>
          <w:i w:val="0"/>
          <w:iCs w:val="0"/>
          <w:color w:val="auto"/>
          <w:sz w:val="24"/>
          <w:szCs w:val="24"/>
        </w:rPr>
        <w:fldChar w:fldCharType="end"/>
      </w:r>
      <w:r w:rsidRPr="001D487B">
        <w:rPr>
          <w:rFonts w:ascii="Times New Roman" w:hAnsi="Times New Roman" w:cs="Times New Roman"/>
          <w:b/>
          <w:bCs/>
          <w:i w:val="0"/>
          <w:iCs w:val="0"/>
          <w:color w:val="auto"/>
          <w:sz w:val="24"/>
          <w:szCs w:val="24"/>
        </w:rPr>
        <w:t xml:space="preserve"> </w:t>
      </w:r>
    </w:p>
    <w:p w:rsidR="00A5167D" w:rsidRPr="001D487B" w:rsidRDefault="00A5167D" w:rsidP="00A5167D">
      <w:pPr>
        <w:pStyle w:val="Caption"/>
        <w:jc w:val="center"/>
      </w:pPr>
      <w:r w:rsidRPr="001D487B">
        <w:rPr>
          <w:rFonts w:ascii="Times New Roman" w:hAnsi="Times New Roman" w:cs="Times New Roman"/>
          <w:b/>
          <w:bCs/>
          <w:i w:val="0"/>
          <w:iCs w:val="0"/>
          <w:color w:val="auto"/>
          <w:sz w:val="24"/>
          <w:szCs w:val="24"/>
        </w:rPr>
        <w:t>Hasil Uji Statistik F</w:t>
      </w:r>
      <w:bookmarkEnd w:id="28"/>
    </w:p>
    <w:tbl>
      <w:tblP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A5167D" w:rsidRPr="00D146E8" w:rsidTr="00471759">
        <w:trPr>
          <w:cantSplit/>
        </w:trPr>
        <w:tc>
          <w:tcPr>
            <w:tcW w:w="8009" w:type="dxa"/>
            <w:gridSpan w:val="7"/>
            <w:shd w:val="clear" w:color="auto" w:fill="FFFFFF"/>
            <w:vAlign w:val="center"/>
          </w:tcPr>
          <w:p w:rsidR="00A5167D" w:rsidRPr="00D146E8" w:rsidRDefault="00A5167D" w:rsidP="00471759">
            <w:pPr>
              <w:jc w:val="center"/>
            </w:pPr>
            <w:r w:rsidRPr="00D146E8">
              <w:rPr>
                <w:b/>
                <w:bCs/>
              </w:rPr>
              <w:t>ANOVA</w:t>
            </w:r>
            <w:r w:rsidRPr="00D146E8">
              <w:rPr>
                <w:b/>
                <w:bCs/>
                <w:vertAlign w:val="superscript"/>
              </w:rPr>
              <w:t>a</w:t>
            </w:r>
          </w:p>
        </w:tc>
      </w:tr>
      <w:tr w:rsidR="00A5167D" w:rsidRPr="00D146E8" w:rsidTr="00471759">
        <w:trPr>
          <w:cantSplit/>
        </w:trPr>
        <w:tc>
          <w:tcPr>
            <w:tcW w:w="2028" w:type="dxa"/>
            <w:gridSpan w:val="2"/>
            <w:shd w:val="clear" w:color="auto" w:fill="FFFFFF"/>
            <w:vAlign w:val="bottom"/>
          </w:tcPr>
          <w:p w:rsidR="00A5167D" w:rsidRPr="00D146E8" w:rsidRDefault="00A5167D" w:rsidP="00471759">
            <w:pPr>
              <w:jc w:val="center"/>
            </w:pPr>
            <w:r w:rsidRPr="00D146E8">
              <w:t>Model</w:t>
            </w:r>
          </w:p>
        </w:tc>
        <w:tc>
          <w:tcPr>
            <w:tcW w:w="1476" w:type="dxa"/>
            <w:shd w:val="clear" w:color="auto" w:fill="FFFFFF"/>
            <w:vAlign w:val="bottom"/>
          </w:tcPr>
          <w:p w:rsidR="00A5167D" w:rsidRPr="00D146E8" w:rsidRDefault="00A5167D" w:rsidP="00471759">
            <w:pPr>
              <w:jc w:val="center"/>
            </w:pPr>
            <w:r w:rsidRPr="00D146E8">
              <w:t>Sum of Squares</w:t>
            </w:r>
          </w:p>
        </w:tc>
        <w:tc>
          <w:tcPr>
            <w:tcW w:w="1030" w:type="dxa"/>
            <w:shd w:val="clear" w:color="auto" w:fill="FFFFFF"/>
            <w:vAlign w:val="bottom"/>
          </w:tcPr>
          <w:p w:rsidR="00A5167D" w:rsidRPr="00D146E8" w:rsidRDefault="00A5167D" w:rsidP="00471759">
            <w:pPr>
              <w:jc w:val="center"/>
            </w:pPr>
            <w:r w:rsidRPr="00D146E8">
              <w:t>df</w:t>
            </w:r>
          </w:p>
        </w:tc>
        <w:tc>
          <w:tcPr>
            <w:tcW w:w="1415" w:type="dxa"/>
            <w:shd w:val="clear" w:color="auto" w:fill="FFFFFF"/>
            <w:vAlign w:val="bottom"/>
          </w:tcPr>
          <w:p w:rsidR="00A5167D" w:rsidRPr="00D146E8" w:rsidRDefault="00A5167D" w:rsidP="00471759">
            <w:pPr>
              <w:jc w:val="center"/>
            </w:pPr>
            <w:r w:rsidRPr="00D146E8">
              <w:t>Mean Square</w:t>
            </w:r>
          </w:p>
        </w:tc>
        <w:tc>
          <w:tcPr>
            <w:tcW w:w="1030" w:type="dxa"/>
            <w:shd w:val="clear" w:color="auto" w:fill="FFFFFF"/>
            <w:vAlign w:val="bottom"/>
          </w:tcPr>
          <w:p w:rsidR="00A5167D" w:rsidRPr="00D146E8" w:rsidRDefault="00A5167D" w:rsidP="00471759">
            <w:pPr>
              <w:jc w:val="center"/>
            </w:pPr>
            <w:r w:rsidRPr="00D146E8">
              <w:t>F</w:t>
            </w:r>
          </w:p>
        </w:tc>
        <w:tc>
          <w:tcPr>
            <w:tcW w:w="1030" w:type="dxa"/>
            <w:shd w:val="clear" w:color="auto" w:fill="FFFFFF"/>
            <w:vAlign w:val="bottom"/>
          </w:tcPr>
          <w:p w:rsidR="00A5167D" w:rsidRPr="00D146E8" w:rsidRDefault="00A5167D" w:rsidP="00471759">
            <w:pPr>
              <w:jc w:val="center"/>
            </w:pPr>
            <w:r w:rsidRPr="00D146E8">
              <w:t>Sig.</w:t>
            </w:r>
          </w:p>
        </w:tc>
      </w:tr>
      <w:tr w:rsidR="00A5167D" w:rsidRPr="00D146E8" w:rsidTr="00471759">
        <w:trPr>
          <w:cantSplit/>
        </w:trPr>
        <w:tc>
          <w:tcPr>
            <w:tcW w:w="736" w:type="dxa"/>
            <w:vMerge w:val="restart"/>
            <w:shd w:val="clear" w:color="auto" w:fill="auto"/>
          </w:tcPr>
          <w:p w:rsidR="00A5167D" w:rsidRPr="00D146E8" w:rsidRDefault="00A5167D" w:rsidP="00471759">
            <w:r w:rsidRPr="00D146E8">
              <w:t>1</w:t>
            </w:r>
          </w:p>
        </w:tc>
        <w:tc>
          <w:tcPr>
            <w:tcW w:w="1292" w:type="dxa"/>
            <w:shd w:val="clear" w:color="auto" w:fill="auto"/>
          </w:tcPr>
          <w:p w:rsidR="00A5167D" w:rsidRPr="00D146E8" w:rsidRDefault="00A5167D" w:rsidP="00471759">
            <w:r w:rsidRPr="00D146E8">
              <w:t>Regression</w:t>
            </w:r>
          </w:p>
        </w:tc>
        <w:tc>
          <w:tcPr>
            <w:tcW w:w="1476" w:type="dxa"/>
            <w:shd w:val="clear" w:color="auto" w:fill="auto"/>
          </w:tcPr>
          <w:p w:rsidR="00A5167D" w:rsidRPr="00D146E8" w:rsidRDefault="00A5167D" w:rsidP="00471759">
            <w:pPr>
              <w:jc w:val="right"/>
            </w:pPr>
            <w:r w:rsidRPr="00D146E8">
              <w:t>28.121</w:t>
            </w:r>
          </w:p>
        </w:tc>
        <w:tc>
          <w:tcPr>
            <w:tcW w:w="1030" w:type="dxa"/>
            <w:shd w:val="clear" w:color="auto" w:fill="auto"/>
          </w:tcPr>
          <w:p w:rsidR="00A5167D" w:rsidRPr="00D146E8" w:rsidRDefault="00A5167D" w:rsidP="00471759">
            <w:pPr>
              <w:jc w:val="right"/>
            </w:pPr>
            <w:r w:rsidRPr="00D146E8">
              <w:t>3</w:t>
            </w:r>
          </w:p>
        </w:tc>
        <w:tc>
          <w:tcPr>
            <w:tcW w:w="1415" w:type="dxa"/>
            <w:shd w:val="clear" w:color="auto" w:fill="auto"/>
          </w:tcPr>
          <w:p w:rsidR="00A5167D" w:rsidRPr="00D146E8" w:rsidRDefault="00A5167D" w:rsidP="00471759">
            <w:pPr>
              <w:jc w:val="right"/>
            </w:pPr>
            <w:r w:rsidRPr="00D146E8">
              <w:t>9.374</w:t>
            </w:r>
          </w:p>
        </w:tc>
        <w:tc>
          <w:tcPr>
            <w:tcW w:w="1030" w:type="dxa"/>
            <w:shd w:val="clear" w:color="auto" w:fill="auto"/>
          </w:tcPr>
          <w:p w:rsidR="00A5167D" w:rsidRPr="00D146E8" w:rsidRDefault="00A5167D" w:rsidP="00471759">
            <w:pPr>
              <w:jc w:val="right"/>
            </w:pPr>
            <w:r w:rsidRPr="00D146E8">
              <w:t>3.772</w:t>
            </w:r>
          </w:p>
        </w:tc>
        <w:tc>
          <w:tcPr>
            <w:tcW w:w="1030" w:type="dxa"/>
            <w:shd w:val="clear" w:color="auto" w:fill="auto"/>
          </w:tcPr>
          <w:p w:rsidR="00A5167D" w:rsidRPr="00D146E8" w:rsidRDefault="00A5167D" w:rsidP="00471759">
            <w:pPr>
              <w:jc w:val="right"/>
            </w:pPr>
            <w:r w:rsidRPr="00D146E8">
              <w:t>.014</w:t>
            </w:r>
            <w:r w:rsidRPr="00D146E8">
              <w:rPr>
                <w:vertAlign w:val="superscript"/>
              </w:rPr>
              <w:t>b</w:t>
            </w:r>
          </w:p>
        </w:tc>
      </w:tr>
      <w:tr w:rsidR="00A5167D" w:rsidRPr="00D146E8" w:rsidTr="00471759">
        <w:trPr>
          <w:cantSplit/>
        </w:trPr>
        <w:tc>
          <w:tcPr>
            <w:tcW w:w="736" w:type="dxa"/>
            <w:vMerge/>
            <w:shd w:val="clear" w:color="auto" w:fill="auto"/>
          </w:tcPr>
          <w:p w:rsidR="00A5167D" w:rsidRPr="00D146E8" w:rsidRDefault="00A5167D" w:rsidP="00471759"/>
        </w:tc>
        <w:tc>
          <w:tcPr>
            <w:tcW w:w="1292" w:type="dxa"/>
            <w:shd w:val="clear" w:color="auto" w:fill="auto"/>
          </w:tcPr>
          <w:p w:rsidR="00A5167D" w:rsidRPr="00D146E8" w:rsidRDefault="00A5167D" w:rsidP="00471759">
            <w:r w:rsidRPr="00D146E8">
              <w:t>Residual</w:t>
            </w:r>
          </w:p>
        </w:tc>
        <w:tc>
          <w:tcPr>
            <w:tcW w:w="1476" w:type="dxa"/>
            <w:shd w:val="clear" w:color="auto" w:fill="auto"/>
          </w:tcPr>
          <w:p w:rsidR="00A5167D" w:rsidRPr="00D146E8" w:rsidRDefault="00A5167D" w:rsidP="00471759">
            <w:pPr>
              <w:jc w:val="right"/>
            </w:pPr>
            <w:r w:rsidRPr="00D146E8">
              <w:t>176.421</w:t>
            </w:r>
          </w:p>
        </w:tc>
        <w:tc>
          <w:tcPr>
            <w:tcW w:w="1030" w:type="dxa"/>
            <w:shd w:val="clear" w:color="auto" w:fill="auto"/>
          </w:tcPr>
          <w:p w:rsidR="00A5167D" w:rsidRPr="00D146E8" w:rsidRDefault="00A5167D" w:rsidP="00471759">
            <w:pPr>
              <w:jc w:val="right"/>
            </w:pPr>
            <w:r w:rsidRPr="00D146E8">
              <w:t>71</w:t>
            </w:r>
          </w:p>
        </w:tc>
        <w:tc>
          <w:tcPr>
            <w:tcW w:w="1415" w:type="dxa"/>
            <w:shd w:val="clear" w:color="auto" w:fill="auto"/>
          </w:tcPr>
          <w:p w:rsidR="00A5167D" w:rsidRPr="00D146E8" w:rsidRDefault="00A5167D" w:rsidP="00471759">
            <w:pPr>
              <w:jc w:val="right"/>
            </w:pPr>
            <w:r w:rsidRPr="00D146E8">
              <w:t>2.485</w:t>
            </w:r>
          </w:p>
        </w:tc>
        <w:tc>
          <w:tcPr>
            <w:tcW w:w="1030" w:type="dxa"/>
            <w:shd w:val="clear" w:color="auto" w:fill="auto"/>
            <w:vAlign w:val="center"/>
          </w:tcPr>
          <w:p w:rsidR="00A5167D" w:rsidRPr="00D146E8" w:rsidRDefault="00A5167D" w:rsidP="00471759">
            <w:pPr>
              <w:jc w:val="right"/>
            </w:pPr>
          </w:p>
        </w:tc>
        <w:tc>
          <w:tcPr>
            <w:tcW w:w="1030" w:type="dxa"/>
            <w:shd w:val="clear" w:color="auto" w:fill="auto"/>
            <w:vAlign w:val="center"/>
          </w:tcPr>
          <w:p w:rsidR="00A5167D" w:rsidRPr="00D146E8" w:rsidRDefault="00A5167D" w:rsidP="00471759">
            <w:pPr>
              <w:jc w:val="right"/>
            </w:pPr>
          </w:p>
        </w:tc>
      </w:tr>
      <w:tr w:rsidR="00A5167D" w:rsidRPr="00D146E8" w:rsidTr="00471759">
        <w:trPr>
          <w:cantSplit/>
        </w:trPr>
        <w:tc>
          <w:tcPr>
            <w:tcW w:w="736" w:type="dxa"/>
            <w:vMerge/>
            <w:shd w:val="clear" w:color="auto" w:fill="auto"/>
          </w:tcPr>
          <w:p w:rsidR="00A5167D" w:rsidRPr="00D146E8" w:rsidRDefault="00A5167D" w:rsidP="00471759"/>
        </w:tc>
        <w:tc>
          <w:tcPr>
            <w:tcW w:w="1292" w:type="dxa"/>
            <w:shd w:val="clear" w:color="auto" w:fill="auto"/>
          </w:tcPr>
          <w:p w:rsidR="00A5167D" w:rsidRPr="00D146E8" w:rsidRDefault="00A5167D" w:rsidP="00471759">
            <w:r w:rsidRPr="00D146E8">
              <w:t>Total</w:t>
            </w:r>
          </w:p>
        </w:tc>
        <w:tc>
          <w:tcPr>
            <w:tcW w:w="1476" w:type="dxa"/>
            <w:shd w:val="clear" w:color="auto" w:fill="auto"/>
          </w:tcPr>
          <w:p w:rsidR="00A5167D" w:rsidRPr="00D146E8" w:rsidRDefault="00A5167D" w:rsidP="00471759">
            <w:pPr>
              <w:jc w:val="right"/>
            </w:pPr>
            <w:r w:rsidRPr="00D146E8">
              <w:t>204.542</w:t>
            </w:r>
          </w:p>
        </w:tc>
        <w:tc>
          <w:tcPr>
            <w:tcW w:w="1030" w:type="dxa"/>
            <w:shd w:val="clear" w:color="auto" w:fill="auto"/>
          </w:tcPr>
          <w:p w:rsidR="00A5167D" w:rsidRPr="00D146E8" w:rsidRDefault="00A5167D" w:rsidP="00471759">
            <w:pPr>
              <w:jc w:val="right"/>
            </w:pPr>
            <w:r w:rsidRPr="00D146E8">
              <w:t>74</w:t>
            </w:r>
          </w:p>
        </w:tc>
        <w:tc>
          <w:tcPr>
            <w:tcW w:w="1415" w:type="dxa"/>
            <w:shd w:val="clear" w:color="auto" w:fill="auto"/>
            <w:vAlign w:val="center"/>
          </w:tcPr>
          <w:p w:rsidR="00A5167D" w:rsidRPr="00D146E8" w:rsidRDefault="00A5167D" w:rsidP="00471759">
            <w:pPr>
              <w:jc w:val="right"/>
            </w:pPr>
          </w:p>
        </w:tc>
        <w:tc>
          <w:tcPr>
            <w:tcW w:w="1030" w:type="dxa"/>
            <w:shd w:val="clear" w:color="auto" w:fill="auto"/>
            <w:vAlign w:val="center"/>
          </w:tcPr>
          <w:p w:rsidR="00A5167D" w:rsidRPr="00D146E8" w:rsidRDefault="00A5167D" w:rsidP="00471759">
            <w:pPr>
              <w:jc w:val="right"/>
            </w:pPr>
          </w:p>
        </w:tc>
        <w:tc>
          <w:tcPr>
            <w:tcW w:w="1030" w:type="dxa"/>
            <w:shd w:val="clear" w:color="auto" w:fill="auto"/>
            <w:vAlign w:val="center"/>
          </w:tcPr>
          <w:p w:rsidR="00A5167D" w:rsidRPr="00D146E8" w:rsidRDefault="00A5167D" w:rsidP="00471759">
            <w:pPr>
              <w:jc w:val="right"/>
            </w:pPr>
          </w:p>
        </w:tc>
      </w:tr>
      <w:tr w:rsidR="00A5167D" w:rsidRPr="00D146E8" w:rsidTr="00471759">
        <w:trPr>
          <w:cantSplit/>
        </w:trPr>
        <w:tc>
          <w:tcPr>
            <w:tcW w:w="8009" w:type="dxa"/>
            <w:gridSpan w:val="7"/>
            <w:shd w:val="clear" w:color="auto" w:fill="auto"/>
          </w:tcPr>
          <w:p w:rsidR="00A5167D" w:rsidRPr="00D146E8" w:rsidRDefault="00A5167D" w:rsidP="00471759">
            <w:r w:rsidRPr="00D146E8">
              <w:t>a. Dependent Variable: Penghindaran Pajak</w:t>
            </w:r>
          </w:p>
        </w:tc>
      </w:tr>
      <w:tr w:rsidR="00A5167D" w:rsidRPr="00D146E8" w:rsidTr="00471759">
        <w:trPr>
          <w:cantSplit/>
        </w:trPr>
        <w:tc>
          <w:tcPr>
            <w:tcW w:w="8009" w:type="dxa"/>
            <w:gridSpan w:val="7"/>
            <w:shd w:val="clear" w:color="auto" w:fill="FFFFFF"/>
          </w:tcPr>
          <w:p w:rsidR="00A5167D" w:rsidRPr="00D146E8" w:rsidRDefault="00A5167D" w:rsidP="00471759">
            <w:r w:rsidRPr="00D146E8">
              <w:t>b. Predictors: (Constant), Ukuran Perusahaan, profitabilitas, Tingkat Utang</w:t>
            </w:r>
          </w:p>
        </w:tc>
      </w:tr>
    </w:tbl>
    <w:p w:rsidR="00A5167D" w:rsidRDefault="00A5167D" w:rsidP="00A5167D">
      <w:pPr>
        <w:spacing w:line="480" w:lineRule="auto"/>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Default="00A5167D" w:rsidP="00A5167D">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tabel di atas</w:t>
      </w:r>
      <w:r w:rsidRPr="00DF40BF">
        <w:rPr>
          <w:rFonts w:ascii="Times New Roman" w:hAnsi="Times New Roman" w:cs="Times New Roman"/>
          <w:sz w:val="24"/>
          <w:szCs w:val="24"/>
        </w:rPr>
        <w:t>, nilai F sebesar 3,772 dengan tingkat signifikansi (Sig.) sebesar 0,014.</w:t>
      </w:r>
      <w:proofErr w:type="gramEnd"/>
      <w:r w:rsidRPr="00DF40BF">
        <w:rPr>
          <w:rFonts w:ascii="Times New Roman" w:hAnsi="Times New Roman" w:cs="Times New Roman"/>
          <w:sz w:val="24"/>
          <w:szCs w:val="24"/>
        </w:rPr>
        <w:t xml:space="preserve"> Nilai signifikansi ini lebih kecil dari batas signifikansi 0</w:t>
      </w:r>
      <w:proofErr w:type="gramStart"/>
      <w:r w:rsidRPr="00DF40BF">
        <w:rPr>
          <w:rFonts w:ascii="Times New Roman" w:hAnsi="Times New Roman" w:cs="Times New Roman"/>
          <w:sz w:val="24"/>
          <w:szCs w:val="24"/>
        </w:rPr>
        <w:t>,05</w:t>
      </w:r>
      <w:proofErr w:type="gramEnd"/>
      <w:r w:rsidRPr="00DF40BF">
        <w:rPr>
          <w:rFonts w:ascii="Times New Roman" w:hAnsi="Times New Roman" w:cs="Times New Roman"/>
          <w:sz w:val="24"/>
          <w:szCs w:val="24"/>
        </w:rPr>
        <w:t xml:space="preserve">, yang menunjukkan bahwa model regresi yang digunakan dalam penelitian ini signifikan secara statistik. </w:t>
      </w:r>
      <w:proofErr w:type="gramStart"/>
      <w:r w:rsidRPr="00DF40BF">
        <w:rPr>
          <w:rFonts w:ascii="Times New Roman" w:hAnsi="Times New Roman" w:cs="Times New Roman"/>
          <w:sz w:val="24"/>
          <w:szCs w:val="24"/>
        </w:rPr>
        <w:t>Artinya, secara simultan, variabel-variabel independen yaitu ukuran perusahaan, profitabilitas, dan tingkat utang memiliki pengaruh terhadap variabel dependen yaitu penghindaran pajak.</w:t>
      </w:r>
      <w:proofErr w:type="gramEnd"/>
    </w:p>
    <w:p w:rsidR="00A5167D" w:rsidRDefault="00A5167D" w:rsidP="00A5167D">
      <w:pPr>
        <w:pStyle w:val="Heading2"/>
      </w:pPr>
      <w:bookmarkStart w:id="29" w:name="_Toc202786240"/>
      <w:r>
        <w:t>Intepretasi Hasil</w:t>
      </w:r>
      <w:bookmarkEnd w:id="29"/>
    </w:p>
    <w:p w:rsidR="00A5167D" w:rsidRDefault="00A5167D" w:rsidP="00A5167D">
      <w:pPr>
        <w:spacing w:line="480" w:lineRule="auto"/>
        <w:ind w:firstLine="720"/>
        <w:jc w:val="both"/>
        <w:rPr>
          <w:rFonts w:ascii="Times New Roman" w:hAnsi="Times New Roman" w:cs="Times New Roman"/>
          <w:sz w:val="24"/>
          <w:szCs w:val="24"/>
        </w:rPr>
      </w:pPr>
      <w:proofErr w:type="gramStart"/>
      <w:r w:rsidRPr="0058747E">
        <w:rPr>
          <w:rFonts w:ascii="Times New Roman" w:hAnsi="Times New Roman" w:cs="Times New Roman"/>
          <w:sz w:val="24"/>
          <w:szCs w:val="24"/>
        </w:rPr>
        <w:t>Bagian ini menyajikan tinjauan menyeluruh terhadap hasil pengujian hipotesis yang telah dilaksanakan dalam penelitian ini, mencakup hipotesis utama yang disusun berdasarkan kerangka teori dan studi literatur sebelumnya.</w:t>
      </w:r>
      <w:proofErr w:type="gramEnd"/>
      <w:r w:rsidRPr="0058747E">
        <w:rPr>
          <w:rFonts w:ascii="Times New Roman" w:hAnsi="Times New Roman" w:cs="Times New Roman"/>
          <w:sz w:val="24"/>
          <w:szCs w:val="24"/>
        </w:rPr>
        <w:t xml:space="preserve"> </w:t>
      </w:r>
      <w:proofErr w:type="gramStart"/>
      <w:r w:rsidRPr="0058747E">
        <w:rPr>
          <w:rFonts w:ascii="Times New Roman" w:hAnsi="Times New Roman" w:cs="Times New Roman"/>
          <w:sz w:val="24"/>
          <w:szCs w:val="24"/>
        </w:rPr>
        <w:t>Tujuan dari analisis ini adalah untuk menilai hubungan antara variabel-variabel yang diteliti, serta mengidentifikasi sejauh mana data empiris mendukung hipotesis yang telah diajukan.</w:t>
      </w:r>
      <w:proofErr w:type="gramEnd"/>
      <w:r w:rsidRPr="0058747E">
        <w:rPr>
          <w:rFonts w:ascii="Times New Roman" w:hAnsi="Times New Roman" w:cs="Times New Roman"/>
          <w:sz w:val="24"/>
          <w:szCs w:val="24"/>
        </w:rPr>
        <w:t xml:space="preserve"> </w:t>
      </w:r>
      <w:proofErr w:type="gramStart"/>
      <w:r w:rsidRPr="0058747E">
        <w:rPr>
          <w:rFonts w:ascii="Times New Roman" w:hAnsi="Times New Roman" w:cs="Times New Roman"/>
          <w:sz w:val="24"/>
          <w:szCs w:val="24"/>
        </w:rPr>
        <w:t>Setiap hipotesis diuji menggunakan pendekatan statistik yang relevan, dengan interpretasi hasil mengacu pada tingkat signifikansi dan nilai koefisien yang diperoleh.</w:t>
      </w:r>
      <w:proofErr w:type="gramEnd"/>
      <w:r w:rsidRPr="0058747E">
        <w:rPr>
          <w:rFonts w:ascii="Times New Roman" w:hAnsi="Times New Roman" w:cs="Times New Roman"/>
          <w:sz w:val="24"/>
          <w:szCs w:val="24"/>
        </w:rPr>
        <w:t xml:space="preserve"> </w:t>
      </w:r>
      <w:proofErr w:type="gramStart"/>
      <w:r w:rsidRPr="0058747E">
        <w:rPr>
          <w:rFonts w:ascii="Times New Roman" w:hAnsi="Times New Roman" w:cs="Times New Roman"/>
          <w:sz w:val="24"/>
          <w:szCs w:val="24"/>
        </w:rPr>
        <w:t>Seluruh hasil pengujian hipotesis dirangkum secara ringkas untuk memberikan pemahaman yang sistematis dan menyeluruh mengenai kontribusi masing-masing variabel dalam model penelitian ini.</w:t>
      </w:r>
      <w:proofErr w:type="gramEnd"/>
    </w:p>
    <w:p w:rsidR="00A5167D" w:rsidRDefault="00A5167D" w:rsidP="00A5167D">
      <w:pPr>
        <w:pStyle w:val="Caption"/>
        <w:jc w:val="center"/>
        <w:rPr>
          <w:rFonts w:ascii="Times New Roman" w:hAnsi="Times New Roman" w:cs="Times New Roman"/>
          <w:b/>
          <w:bCs/>
          <w:i w:val="0"/>
          <w:iCs w:val="0"/>
          <w:color w:val="auto"/>
          <w:sz w:val="24"/>
          <w:szCs w:val="24"/>
        </w:rPr>
      </w:pPr>
      <w:bookmarkStart w:id="30" w:name="_Toc202720445"/>
      <w:proofErr w:type="gramStart"/>
      <w:r w:rsidRPr="001D487B">
        <w:rPr>
          <w:rFonts w:ascii="Times New Roman" w:hAnsi="Times New Roman" w:cs="Times New Roman"/>
          <w:b/>
          <w:bCs/>
          <w:i w:val="0"/>
          <w:iCs w:val="0"/>
          <w:color w:val="auto"/>
          <w:sz w:val="24"/>
          <w:szCs w:val="24"/>
        </w:rPr>
        <w:t>Tabel 4.</w:t>
      </w:r>
      <w:proofErr w:type="gramEnd"/>
      <w:r w:rsidRPr="001D487B">
        <w:rPr>
          <w:rFonts w:ascii="Times New Roman" w:hAnsi="Times New Roman" w:cs="Times New Roman"/>
          <w:b/>
          <w:bCs/>
          <w:i w:val="0"/>
          <w:iCs w:val="0"/>
          <w:color w:val="auto"/>
          <w:sz w:val="24"/>
          <w:szCs w:val="24"/>
        </w:rPr>
        <w:t xml:space="preserve"> </w:t>
      </w:r>
      <w:r w:rsidRPr="001D487B">
        <w:rPr>
          <w:rFonts w:ascii="Times New Roman" w:hAnsi="Times New Roman" w:cs="Times New Roman"/>
          <w:b/>
          <w:bCs/>
          <w:i w:val="0"/>
          <w:iCs w:val="0"/>
          <w:color w:val="auto"/>
          <w:sz w:val="24"/>
          <w:szCs w:val="24"/>
        </w:rPr>
        <w:fldChar w:fldCharType="begin"/>
      </w:r>
      <w:r w:rsidRPr="001D487B">
        <w:rPr>
          <w:rFonts w:ascii="Times New Roman" w:hAnsi="Times New Roman" w:cs="Times New Roman"/>
          <w:b/>
          <w:bCs/>
          <w:i w:val="0"/>
          <w:iCs w:val="0"/>
          <w:color w:val="auto"/>
          <w:sz w:val="24"/>
          <w:szCs w:val="24"/>
        </w:rPr>
        <w:instrText xml:space="preserve"> SEQ Tabel_4. \* ARABIC </w:instrText>
      </w:r>
      <w:r w:rsidRPr="001D487B">
        <w:rPr>
          <w:rFonts w:ascii="Times New Roman" w:hAnsi="Times New Roman" w:cs="Times New Roman"/>
          <w:b/>
          <w:bCs/>
          <w:i w:val="0"/>
          <w:iCs w:val="0"/>
          <w:color w:val="auto"/>
          <w:sz w:val="24"/>
          <w:szCs w:val="24"/>
        </w:rPr>
        <w:fldChar w:fldCharType="separate"/>
      </w:r>
      <w:r w:rsidRPr="001D487B">
        <w:rPr>
          <w:rFonts w:ascii="Times New Roman" w:hAnsi="Times New Roman" w:cs="Times New Roman"/>
          <w:b/>
          <w:bCs/>
          <w:i w:val="0"/>
          <w:iCs w:val="0"/>
          <w:noProof/>
          <w:color w:val="auto"/>
          <w:sz w:val="24"/>
          <w:szCs w:val="24"/>
        </w:rPr>
        <w:t>11</w:t>
      </w:r>
      <w:r w:rsidRPr="001D487B">
        <w:rPr>
          <w:rFonts w:ascii="Times New Roman" w:hAnsi="Times New Roman" w:cs="Times New Roman"/>
          <w:b/>
          <w:bCs/>
          <w:i w:val="0"/>
          <w:iCs w:val="0"/>
          <w:color w:val="auto"/>
          <w:sz w:val="24"/>
          <w:szCs w:val="24"/>
        </w:rPr>
        <w:fldChar w:fldCharType="end"/>
      </w:r>
      <w:r w:rsidRPr="001D487B">
        <w:rPr>
          <w:rFonts w:ascii="Times New Roman" w:hAnsi="Times New Roman" w:cs="Times New Roman"/>
          <w:b/>
          <w:bCs/>
          <w:i w:val="0"/>
          <w:iCs w:val="0"/>
          <w:color w:val="auto"/>
          <w:sz w:val="24"/>
          <w:szCs w:val="24"/>
        </w:rPr>
        <w:t xml:space="preserve"> </w:t>
      </w:r>
    </w:p>
    <w:p w:rsidR="00A5167D" w:rsidRPr="001D487B" w:rsidRDefault="00A5167D" w:rsidP="00A5167D">
      <w:pPr>
        <w:pStyle w:val="Caption"/>
        <w:jc w:val="center"/>
        <w:rPr>
          <w:rFonts w:ascii="Times New Roman" w:hAnsi="Times New Roman" w:cs="Times New Roman"/>
          <w:b/>
          <w:bCs/>
          <w:i w:val="0"/>
          <w:iCs w:val="0"/>
          <w:color w:val="auto"/>
          <w:sz w:val="24"/>
          <w:szCs w:val="24"/>
        </w:rPr>
      </w:pPr>
      <w:r w:rsidRPr="001D487B">
        <w:rPr>
          <w:rFonts w:ascii="Times New Roman" w:hAnsi="Times New Roman" w:cs="Times New Roman"/>
          <w:b/>
          <w:bCs/>
          <w:i w:val="0"/>
          <w:iCs w:val="0"/>
          <w:color w:val="auto"/>
          <w:sz w:val="24"/>
          <w:szCs w:val="24"/>
        </w:rPr>
        <w:t>Ringkasan Hasil Uji Hipotesis</w:t>
      </w:r>
      <w:bookmarkEnd w:id="30"/>
    </w:p>
    <w:tbl>
      <w:tblPr>
        <w:tblStyle w:val="TableGrid"/>
        <w:tblW w:w="0" w:type="auto"/>
        <w:jc w:val="center"/>
        <w:tblLook w:val="04A0" w:firstRow="1" w:lastRow="0" w:firstColumn="1" w:lastColumn="0" w:noHBand="0" w:noVBand="1"/>
      </w:tblPr>
      <w:tblGrid>
        <w:gridCol w:w="1163"/>
        <w:gridCol w:w="5495"/>
        <w:gridCol w:w="1269"/>
      </w:tblGrid>
      <w:tr w:rsidR="00A5167D" w:rsidRPr="00A10F2E" w:rsidTr="00471759">
        <w:trPr>
          <w:jc w:val="center"/>
        </w:trPr>
        <w:tc>
          <w:tcPr>
            <w:tcW w:w="0" w:type="auto"/>
          </w:tcPr>
          <w:p w:rsidR="00A5167D" w:rsidRPr="00870CAF" w:rsidRDefault="00A5167D" w:rsidP="00471759">
            <w:pPr>
              <w:spacing w:line="480" w:lineRule="auto"/>
              <w:jc w:val="center"/>
              <w:rPr>
                <w:rFonts w:ascii="Times New Roman" w:hAnsi="Times New Roman" w:cs="Times New Roman"/>
                <w:b/>
                <w:bCs/>
                <w:szCs w:val="24"/>
              </w:rPr>
            </w:pPr>
            <w:r w:rsidRPr="00870CAF">
              <w:rPr>
                <w:rFonts w:ascii="Times New Roman" w:hAnsi="Times New Roman" w:cs="Times New Roman"/>
                <w:b/>
                <w:bCs/>
                <w:szCs w:val="24"/>
              </w:rPr>
              <w:t>Hipotesis</w:t>
            </w:r>
          </w:p>
        </w:tc>
        <w:tc>
          <w:tcPr>
            <w:tcW w:w="5495" w:type="dxa"/>
          </w:tcPr>
          <w:p w:rsidR="00A5167D" w:rsidRPr="00870CAF" w:rsidRDefault="00A5167D" w:rsidP="00471759">
            <w:pPr>
              <w:spacing w:line="480" w:lineRule="auto"/>
              <w:jc w:val="center"/>
              <w:rPr>
                <w:rFonts w:ascii="Times New Roman" w:hAnsi="Times New Roman" w:cs="Times New Roman"/>
                <w:b/>
                <w:bCs/>
                <w:szCs w:val="24"/>
              </w:rPr>
            </w:pPr>
            <w:r>
              <w:rPr>
                <w:rFonts w:ascii="Times New Roman" w:hAnsi="Times New Roman" w:cs="Times New Roman"/>
                <w:b/>
                <w:bCs/>
                <w:szCs w:val="24"/>
              </w:rPr>
              <w:t>P</w:t>
            </w:r>
            <w:r w:rsidRPr="00870CAF">
              <w:rPr>
                <w:rFonts w:ascii="Times New Roman" w:hAnsi="Times New Roman" w:cs="Times New Roman"/>
                <w:b/>
                <w:bCs/>
                <w:szCs w:val="24"/>
              </w:rPr>
              <w:t>ernyataan</w:t>
            </w:r>
          </w:p>
        </w:tc>
        <w:tc>
          <w:tcPr>
            <w:tcW w:w="1269" w:type="dxa"/>
          </w:tcPr>
          <w:p w:rsidR="00A5167D" w:rsidRPr="00870CAF" w:rsidRDefault="00A5167D" w:rsidP="00471759">
            <w:pPr>
              <w:spacing w:line="480" w:lineRule="auto"/>
              <w:jc w:val="center"/>
              <w:rPr>
                <w:rFonts w:ascii="Times New Roman" w:hAnsi="Times New Roman" w:cs="Times New Roman"/>
                <w:b/>
                <w:bCs/>
                <w:szCs w:val="24"/>
              </w:rPr>
            </w:pPr>
            <w:r>
              <w:rPr>
                <w:rFonts w:ascii="Times New Roman" w:hAnsi="Times New Roman" w:cs="Times New Roman"/>
                <w:b/>
                <w:bCs/>
                <w:szCs w:val="24"/>
              </w:rPr>
              <w:t>H</w:t>
            </w:r>
            <w:r w:rsidRPr="00870CAF">
              <w:rPr>
                <w:rFonts w:ascii="Times New Roman" w:hAnsi="Times New Roman" w:cs="Times New Roman"/>
                <w:b/>
                <w:bCs/>
                <w:szCs w:val="24"/>
              </w:rPr>
              <w:t xml:space="preserve">asil </w:t>
            </w:r>
            <w:r>
              <w:rPr>
                <w:rFonts w:ascii="Times New Roman" w:hAnsi="Times New Roman" w:cs="Times New Roman"/>
                <w:b/>
                <w:bCs/>
                <w:szCs w:val="24"/>
              </w:rPr>
              <w:t>U</w:t>
            </w:r>
            <w:r w:rsidRPr="00870CAF">
              <w:rPr>
                <w:rFonts w:ascii="Times New Roman" w:hAnsi="Times New Roman" w:cs="Times New Roman"/>
                <w:b/>
                <w:bCs/>
                <w:szCs w:val="24"/>
              </w:rPr>
              <w:t>ji</w:t>
            </w:r>
          </w:p>
        </w:tc>
      </w:tr>
      <w:tr w:rsidR="00A5167D" w:rsidRPr="00A10F2E" w:rsidTr="00471759">
        <w:trPr>
          <w:trHeight w:val="1053"/>
          <w:jc w:val="center"/>
        </w:trPr>
        <w:tc>
          <w:tcPr>
            <w:tcW w:w="0" w:type="auto"/>
          </w:tcPr>
          <w:p w:rsidR="00A5167D" w:rsidRPr="00870CAF" w:rsidRDefault="00A5167D" w:rsidP="00471759">
            <w:pPr>
              <w:spacing w:line="480" w:lineRule="auto"/>
              <w:jc w:val="center"/>
              <w:rPr>
                <w:rFonts w:ascii="Times New Roman" w:hAnsi="Times New Roman" w:cs="Times New Roman"/>
                <w:b/>
                <w:bCs/>
                <w:szCs w:val="24"/>
              </w:rPr>
            </w:pPr>
            <w:r w:rsidRPr="00870CAF">
              <w:rPr>
                <w:rFonts w:ascii="Times New Roman" w:hAnsi="Times New Roman" w:cs="Times New Roman"/>
                <w:b/>
                <w:bCs/>
                <w:szCs w:val="24"/>
              </w:rPr>
              <w:lastRenderedPageBreak/>
              <w:t>H1</w:t>
            </w:r>
          </w:p>
        </w:tc>
        <w:tc>
          <w:tcPr>
            <w:tcW w:w="5495" w:type="dxa"/>
          </w:tcPr>
          <w:p w:rsidR="00A5167D" w:rsidRPr="00A10F2E" w:rsidRDefault="00A5167D" w:rsidP="00471759">
            <w:pPr>
              <w:spacing w:line="480" w:lineRule="auto"/>
              <w:jc w:val="both"/>
              <w:rPr>
                <w:rFonts w:ascii="Times New Roman" w:hAnsi="Times New Roman" w:cs="Times New Roman"/>
                <w:szCs w:val="24"/>
              </w:rPr>
            </w:pPr>
            <w:r w:rsidRPr="00A10F2E">
              <w:rPr>
                <w:rFonts w:ascii="Times New Roman" w:hAnsi="Times New Roman" w:cs="Times New Roman"/>
                <w:szCs w:val="24"/>
              </w:rPr>
              <w:t>Tingkat Utang tidak berpengaruh</w:t>
            </w:r>
            <w:r>
              <w:rPr>
                <w:rFonts w:ascii="Times New Roman" w:hAnsi="Times New Roman" w:cs="Times New Roman"/>
                <w:szCs w:val="24"/>
              </w:rPr>
              <w:t xml:space="preserve"> signifikan terhadap penghindaran pajak</w:t>
            </w:r>
          </w:p>
        </w:tc>
        <w:tc>
          <w:tcPr>
            <w:tcW w:w="1269" w:type="dxa"/>
          </w:tcPr>
          <w:p w:rsidR="00A5167D" w:rsidRPr="00A10F2E"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Ditolak</w:t>
            </w:r>
          </w:p>
        </w:tc>
      </w:tr>
      <w:tr w:rsidR="00A5167D" w:rsidRPr="00A10F2E" w:rsidTr="00471759">
        <w:trPr>
          <w:trHeight w:val="982"/>
          <w:jc w:val="center"/>
        </w:trPr>
        <w:tc>
          <w:tcPr>
            <w:tcW w:w="0" w:type="auto"/>
          </w:tcPr>
          <w:p w:rsidR="00A5167D" w:rsidRPr="00870CAF" w:rsidRDefault="00A5167D" w:rsidP="00471759">
            <w:pPr>
              <w:spacing w:line="480" w:lineRule="auto"/>
              <w:jc w:val="center"/>
              <w:rPr>
                <w:rFonts w:ascii="Times New Roman" w:hAnsi="Times New Roman" w:cs="Times New Roman"/>
                <w:b/>
                <w:bCs/>
                <w:szCs w:val="24"/>
              </w:rPr>
            </w:pPr>
            <w:r w:rsidRPr="00870CAF">
              <w:rPr>
                <w:rFonts w:ascii="Times New Roman" w:hAnsi="Times New Roman" w:cs="Times New Roman"/>
                <w:b/>
                <w:bCs/>
                <w:szCs w:val="24"/>
              </w:rPr>
              <w:t>H2</w:t>
            </w:r>
          </w:p>
        </w:tc>
        <w:tc>
          <w:tcPr>
            <w:tcW w:w="5495" w:type="dxa"/>
          </w:tcPr>
          <w:p w:rsidR="00A5167D" w:rsidRPr="00A10F2E" w:rsidRDefault="00A5167D" w:rsidP="00471759">
            <w:pPr>
              <w:spacing w:line="480" w:lineRule="auto"/>
              <w:jc w:val="both"/>
              <w:rPr>
                <w:rFonts w:ascii="Times New Roman" w:hAnsi="Times New Roman" w:cs="Times New Roman"/>
                <w:szCs w:val="24"/>
              </w:rPr>
            </w:pPr>
            <w:r w:rsidRPr="00A10F2E">
              <w:rPr>
                <w:rFonts w:ascii="Times New Roman" w:hAnsi="Times New Roman" w:cs="Times New Roman"/>
                <w:szCs w:val="24"/>
              </w:rPr>
              <w:t>Profitabilitas Berpengaruh</w:t>
            </w:r>
            <w:r>
              <w:rPr>
                <w:rFonts w:ascii="Times New Roman" w:hAnsi="Times New Roman" w:cs="Times New Roman"/>
                <w:szCs w:val="24"/>
              </w:rPr>
              <w:t xml:space="preserve"> Negatitif terhadap penghindaran pajak</w:t>
            </w:r>
          </w:p>
        </w:tc>
        <w:tc>
          <w:tcPr>
            <w:tcW w:w="1269" w:type="dxa"/>
          </w:tcPr>
          <w:p w:rsidR="00A5167D" w:rsidRPr="00A10F2E"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 Diterima</w:t>
            </w:r>
          </w:p>
        </w:tc>
      </w:tr>
      <w:tr w:rsidR="00A5167D" w:rsidRPr="00A10F2E" w:rsidTr="00471759">
        <w:trPr>
          <w:trHeight w:val="982"/>
          <w:jc w:val="center"/>
        </w:trPr>
        <w:tc>
          <w:tcPr>
            <w:tcW w:w="0" w:type="auto"/>
          </w:tcPr>
          <w:p w:rsidR="00A5167D" w:rsidRPr="00870CAF" w:rsidRDefault="00A5167D" w:rsidP="00471759">
            <w:pPr>
              <w:spacing w:line="480" w:lineRule="auto"/>
              <w:jc w:val="center"/>
              <w:rPr>
                <w:rFonts w:ascii="Times New Roman" w:hAnsi="Times New Roman" w:cs="Times New Roman"/>
                <w:b/>
                <w:bCs/>
                <w:szCs w:val="24"/>
              </w:rPr>
            </w:pPr>
            <w:r w:rsidRPr="00870CAF">
              <w:rPr>
                <w:rFonts w:ascii="Times New Roman" w:hAnsi="Times New Roman" w:cs="Times New Roman"/>
                <w:b/>
                <w:bCs/>
                <w:szCs w:val="24"/>
              </w:rPr>
              <w:t>H3</w:t>
            </w:r>
          </w:p>
        </w:tc>
        <w:tc>
          <w:tcPr>
            <w:tcW w:w="5495" w:type="dxa"/>
          </w:tcPr>
          <w:p w:rsidR="00A5167D" w:rsidRPr="00A10F2E" w:rsidRDefault="00A5167D" w:rsidP="00471759">
            <w:pPr>
              <w:spacing w:line="480" w:lineRule="auto"/>
              <w:jc w:val="both"/>
              <w:rPr>
                <w:rFonts w:ascii="Times New Roman" w:hAnsi="Times New Roman" w:cs="Times New Roman"/>
                <w:szCs w:val="24"/>
              </w:rPr>
            </w:pPr>
            <w:r w:rsidRPr="00A10F2E">
              <w:rPr>
                <w:rFonts w:ascii="Times New Roman" w:hAnsi="Times New Roman" w:cs="Times New Roman"/>
                <w:szCs w:val="24"/>
              </w:rPr>
              <w:t>Ukuran Perusahaan Berpengaruh</w:t>
            </w:r>
            <w:r>
              <w:rPr>
                <w:rFonts w:ascii="Times New Roman" w:hAnsi="Times New Roman" w:cs="Times New Roman"/>
                <w:szCs w:val="24"/>
              </w:rPr>
              <w:t xml:space="preserve"> Positif terhadap penghindaran pajak</w:t>
            </w:r>
          </w:p>
        </w:tc>
        <w:tc>
          <w:tcPr>
            <w:tcW w:w="1269" w:type="dxa"/>
          </w:tcPr>
          <w:p w:rsidR="00A5167D" w:rsidRPr="00A10F2E" w:rsidRDefault="00A5167D" w:rsidP="00471759">
            <w:pPr>
              <w:spacing w:line="480" w:lineRule="auto"/>
              <w:jc w:val="center"/>
              <w:rPr>
                <w:rFonts w:ascii="Times New Roman" w:hAnsi="Times New Roman" w:cs="Times New Roman"/>
                <w:szCs w:val="24"/>
              </w:rPr>
            </w:pPr>
            <w:r>
              <w:rPr>
                <w:rFonts w:ascii="Times New Roman" w:hAnsi="Times New Roman" w:cs="Times New Roman"/>
                <w:szCs w:val="24"/>
              </w:rPr>
              <w:t>(+) Diterima</w:t>
            </w:r>
          </w:p>
        </w:tc>
      </w:tr>
    </w:tbl>
    <w:p w:rsidR="00A5167D" w:rsidRPr="00546D1E" w:rsidRDefault="00A5167D" w:rsidP="00A5167D">
      <w:pPr>
        <w:spacing w:line="480" w:lineRule="auto"/>
        <w:jc w:val="both"/>
        <w:rPr>
          <w:rFonts w:ascii="Times New Roman" w:hAnsi="Times New Roman" w:cs="Times New Roman"/>
          <w:sz w:val="24"/>
          <w:szCs w:val="24"/>
        </w:rPr>
      </w:pPr>
      <w:r w:rsidRPr="0043326E">
        <w:rPr>
          <w:rFonts w:ascii="Times New Roman" w:hAnsi="Times New Roman" w:cs="Times New Roman"/>
          <w:sz w:val="24"/>
          <w:szCs w:val="24"/>
        </w:rPr>
        <w:t>Sumber:</w:t>
      </w:r>
      <w:r>
        <w:rPr>
          <w:rFonts w:ascii="Times New Roman" w:hAnsi="Times New Roman" w:cs="Times New Roman"/>
          <w:sz w:val="24"/>
          <w:szCs w:val="24"/>
        </w:rPr>
        <w:t xml:space="preserve"> </w:t>
      </w:r>
      <w:r w:rsidRPr="00F7509C">
        <w:rPr>
          <w:rFonts w:ascii="Times New Roman" w:hAnsi="Times New Roman" w:cs="Times New Roman"/>
          <w:i/>
          <w:iCs/>
          <w:sz w:val="24"/>
          <w:szCs w:val="24"/>
        </w:rPr>
        <w:t xml:space="preserve">Output </w:t>
      </w:r>
      <w:r>
        <w:rPr>
          <w:rFonts w:ascii="Times New Roman" w:hAnsi="Times New Roman" w:cs="Times New Roman"/>
          <w:sz w:val="24"/>
          <w:szCs w:val="24"/>
        </w:rPr>
        <w:t>SPSS 25, diolah tahun 2025.</w:t>
      </w:r>
    </w:p>
    <w:p w:rsidR="00A5167D" w:rsidRDefault="00A5167D" w:rsidP="00A5167D">
      <w:pPr>
        <w:pStyle w:val="Heading3"/>
        <w:spacing w:line="480" w:lineRule="auto"/>
      </w:pPr>
      <w:bookmarkStart w:id="31" w:name="_Toc202786241"/>
      <w:r>
        <w:t>4.3.1 Pengaruh Tingkat Utang Terhadap Penghindaran Pajak</w:t>
      </w:r>
      <w:bookmarkEnd w:id="31"/>
    </w:p>
    <w:p w:rsidR="00A5167D" w:rsidRPr="002D19B3" w:rsidRDefault="00A5167D" w:rsidP="00A5167D">
      <w:pPr>
        <w:spacing w:line="480" w:lineRule="auto"/>
        <w:ind w:firstLine="720"/>
        <w:jc w:val="both"/>
        <w:rPr>
          <w:rFonts w:ascii="Times New Roman" w:hAnsi="Times New Roman" w:cs="Times New Roman"/>
          <w:sz w:val="24"/>
          <w:szCs w:val="24"/>
        </w:rPr>
      </w:pPr>
      <w:proofErr w:type="gramStart"/>
      <w:r w:rsidRPr="002D19B3">
        <w:rPr>
          <w:rFonts w:ascii="Times New Roman" w:hAnsi="Times New Roman" w:cs="Times New Roman"/>
          <w:sz w:val="24"/>
          <w:szCs w:val="24"/>
        </w:rPr>
        <w:t>Penelitian ini, tingkat utang diukur dengan Debt to Asset Ratio (DAR).</w:t>
      </w:r>
      <w:proofErr w:type="gramEnd"/>
      <w:r w:rsidRPr="002D19B3">
        <w:rPr>
          <w:rFonts w:ascii="Times New Roman" w:hAnsi="Times New Roman" w:cs="Times New Roman"/>
          <w:sz w:val="24"/>
          <w:szCs w:val="24"/>
        </w:rPr>
        <w:t xml:space="preserve"> </w:t>
      </w:r>
      <w:proofErr w:type="gramStart"/>
      <w:r w:rsidRPr="002D19B3">
        <w:rPr>
          <w:rFonts w:ascii="Times New Roman" w:hAnsi="Times New Roman" w:cs="Times New Roman"/>
          <w:sz w:val="24"/>
          <w:szCs w:val="24"/>
        </w:rPr>
        <w:t>Hasil regresi menunjukkan bahwa tingkat utang memiliki nilai koefisien sebesar -0,016 dengan nilai signifikansi 0,300.</w:t>
      </w:r>
      <w:proofErr w:type="gramEnd"/>
      <w:r w:rsidRPr="002D19B3">
        <w:rPr>
          <w:rFonts w:ascii="Times New Roman" w:hAnsi="Times New Roman" w:cs="Times New Roman"/>
          <w:sz w:val="24"/>
          <w:szCs w:val="24"/>
        </w:rPr>
        <w:t xml:space="preserve"> Karena nilai signifikansinya lebih besar dari 0</w:t>
      </w:r>
      <w:proofErr w:type="gramStart"/>
      <w:r w:rsidRPr="002D19B3">
        <w:rPr>
          <w:rFonts w:ascii="Times New Roman" w:hAnsi="Times New Roman" w:cs="Times New Roman"/>
          <w:sz w:val="24"/>
          <w:szCs w:val="24"/>
        </w:rPr>
        <w:t>,05</w:t>
      </w:r>
      <w:proofErr w:type="gramEnd"/>
      <w:r w:rsidRPr="002D19B3">
        <w:rPr>
          <w:rFonts w:ascii="Times New Roman" w:hAnsi="Times New Roman" w:cs="Times New Roman"/>
          <w:sz w:val="24"/>
          <w:szCs w:val="24"/>
        </w:rPr>
        <w:t>, maka dapat disimpulkan bahwa tingkat utang tidak berpengaruh secara signifikan terhadap penghindaran pajak dalam model yang digunakan.</w:t>
      </w:r>
    </w:p>
    <w:p w:rsidR="00A5167D" w:rsidRPr="002D19B3" w:rsidRDefault="00A5167D" w:rsidP="00A5167D">
      <w:pPr>
        <w:spacing w:line="480" w:lineRule="auto"/>
        <w:ind w:firstLine="720"/>
        <w:jc w:val="both"/>
        <w:rPr>
          <w:rFonts w:ascii="Times New Roman" w:hAnsi="Times New Roman" w:cs="Times New Roman"/>
          <w:sz w:val="24"/>
          <w:szCs w:val="24"/>
        </w:rPr>
      </w:pPr>
      <w:proofErr w:type="gramStart"/>
      <w:r w:rsidRPr="002D19B3">
        <w:rPr>
          <w:rFonts w:ascii="Times New Roman" w:hAnsi="Times New Roman" w:cs="Times New Roman"/>
          <w:sz w:val="24"/>
          <w:szCs w:val="24"/>
        </w:rPr>
        <w:t>Berdasarkan teoritis, utang sering dikaitkan dengan potensi penghindaran pajak.</w:t>
      </w:r>
      <w:proofErr w:type="gramEnd"/>
      <w:r w:rsidRPr="002D19B3">
        <w:rPr>
          <w:rFonts w:ascii="Times New Roman" w:hAnsi="Times New Roman" w:cs="Times New Roman"/>
          <w:sz w:val="24"/>
          <w:szCs w:val="24"/>
        </w:rPr>
        <w:t xml:space="preserve"> </w:t>
      </w:r>
      <w:proofErr w:type="gramStart"/>
      <w:r w:rsidRPr="002D19B3">
        <w:rPr>
          <w:rFonts w:ascii="Times New Roman" w:hAnsi="Times New Roman" w:cs="Times New Roman"/>
          <w:sz w:val="24"/>
          <w:szCs w:val="24"/>
        </w:rPr>
        <w:t>Dalam teori keagenan, adanya konflik kepentingan antara pemilik dan manajer membuat manajer berusaha memaksimalkan nilai perusahaan, salah satunya dengan menurunkan beban pajak.</w:t>
      </w:r>
      <w:proofErr w:type="gramEnd"/>
      <w:r w:rsidRPr="002D19B3">
        <w:rPr>
          <w:rFonts w:ascii="Times New Roman" w:hAnsi="Times New Roman" w:cs="Times New Roman"/>
          <w:sz w:val="24"/>
          <w:szCs w:val="24"/>
        </w:rPr>
        <w:t xml:space="preserve"> Pendanaan melalui utang </w:t>
      </w:r>
      <w:proofErr w:type="gramStart"/>
      <w:r w:rsidRPr="002D19B3">
        <w:rPr>
          <w:rFonts w:ascii="Times New Roman" w:hAnsi="Times New Roman" w:cs="Times New Roman"/>
          <w:sz w:val="24"/>
          <w:szCs w:val="24"/>
        </w:rPr>
        <w:t>akan</w:t>
      </w:r>
      <w:proofErr w:type="gramEnd"/>
      <w:r w:rsidRPr="002D19B3">
        <w:rPr>
          <w:rFonts w:ascii="Times New Roman" w:hAnsi="Times New Roman" w:cs="Times New Roman"/>
          <w:sz w:val="24"/>
          <w:szCs w:val="24"/>
        </w:rPr>
        <w:t xml:space="preserve"> menghasilkan beban bunga yang dapat dikurangkan dalam perhitungan pajak, sehingga secara teori, semakin tinggi utang, maka semakin besar peluang perusahaan melakukan penghindaran pajak. </w:t>
      </w:r>
      <w:proofErr w:type="gramStart"/>
      <w:r w:rsidRPr="002D19B3">
        <w:rPr>
          <w:rFonts w:ascii="Times New Roman" w:hAnsi="Times New Roman" w:cs="Times New Roman"/>
          <w:sz w:val="24"/>
          <w:szCs w:val="24"/>
        </w:rPr>
        <w:t>Namun dalam praktiknya, hasil penelitian ini menunjukkan bahwa hubungan tersebut tidak signifikan.</w:t>
      </w:r>
      <w:proofErr w:type="gramEnd"/>
    </w:p>
    <w:p w:rsidR="00A5167D" w:rsidRPr="002D19B3" w:rsidRDefault="00A5167D" w:rsidP="00A5167D">
      <w:pPr>
        <w:spacing w:line="480" w:lineRule="auto"/>
        <w:ind w:firstLine="720"/>
        <w:jc w:val="both"/>
        <w:rPr>
          <w:rFonts w:ascii="Times New Roman" w:hAnsi="Times New Roman" w:cs="Times New Roman"/>
          <w:sz w:val="24"/>
          <w:szCs w:val="24"/>
        </w:rPr>
      </w:pPr>
      <w:proofErr w:type="gramStart"/>
      <w:r w:rsidRPr="002D19B3">
        <w:rPr>
          <w:rFonts w:ascii="Times New Roman" w:hAnsi="Times New Roman" w:cs="Times New Roman"/>
          <w:sz w:val="24"/>
          <w:szCs w:val="24"/>
        </w:rPr>
        <w:t>Penggunaan utang bukan satu-satunya strategi perusahaan dalam mengelola kewajiban pajak, terutama dalam sektor atau kondisi tertentu.</w:t>
      </w:r>
      <w:proofErr w:type="gramEnd"/>
      <w:r w:rsidRPr="002D19B3">
        <w:rPr>
          <w:rFonts w:ascii="Times New Roman" w:hAnsi="Times New Roman" w:cs="Times New Roman"/>
          <w:sz w:val="24"/>
          <w:szCs w:val="24"/>
        </w:rPr>
        <w:t xml:space="preserve"> </w:t>
      </w:r>
      <w:proofErr w:type="gramStart"/>
      <w:r w:rsidRPr="002D19B3">
        <w:rPr>
          <w:rFonts w:ascii="Times New Roman" w:hAnsi="Times New Roman" w:cs="Times New Roman"/>
          <w:sz w:val="24"/>
          <w:szCs w:val="24"/>
        </w:rPr>
        <w:t>Perusahaan mungkin mempertimbangkan risiko likuiditas dan tekanan keuangan jika proporsi utang terlalu tinggi.</w:t>
      </w:r>
      <w:proofErr w:type="gramEnd"/>
      <w:r w:rsidRPr="002D19B3">
        <w:rPr>
          <w:rFonts w:ascii="Times New Roman" w:hAnsi="Times New Roman" w:cs="Times New Roman"/>
          <w:sz w:val="24"/>
          <w:szCs w:val="24"/>
        </w:rPr>
        <w:t xml:space="preserve"> </w:t>
      </w:r>
      <w:proofErr w:type="gramStart"/>
      <w:r w:rsidRPr="002D19B3">
        <w:rPr>
          <w:rFonts w:ascii="Times New Roman" w:hAnsi="Times New Roman" w:cs="Times New Roman"/>
          <w:sz w:val="24"/>
          <w:szCs w:val="24"/>
        </w:rPr>
        <w:lastRenderedPageBreak/>
        <w:t>Oleh karena itu, tidak semua perusahaan yang memiliki tingkat utang tinggi melakukan strategi penghindaran pajak.</w:t>
      </w:r>
      <w:proofErr w:type="gramEnd"/>
    </w:p>
    <w:p w:rsidR="00A5167D" w:rsidRDefault="00A5167D" w:rsidP="00A5167D">
      <w:pPr>
        <w:spacing w:line="480" w:lineRule="auto"/>
        <w:ind w:firstLine="720"/>
        <w:jc w:val="both"/>
        <w:rPr>
          <w:rFonts w:ascii="Times New Roman" w:hAnsi="Times New Roman" w:cs="Times New Roman"/>
          <w:sz w:val="24"/>
          <w:szCs w:val="24"/>
        </w:rPr>
      </w:pPr>
      <w:proofErr w:type="gramStart"/>
      <w:r w:rsidRPr="002D19B3">
        <w:rPr>
          <w:rFonts w:ascii="Times New Roman" w:hAnsi="Times New Roman" w:cs="Times New Roman"/>
          <w:sz w:val="24"/>
          <w:szCs w:val="24"/>
        </w:rPr>
        <w:t>Penelitian ini selaras dengan Yuliana dan Handayani (2024) yang juga menemukan bahwa tingkat utang tidak berpengaruh signifikan terhadap penghindaran pajak.</w:t>
      </w:r>
      <w:proofErr w:type="gramEnd"/>
      <w:r w:rsidRPr="002D19B3">
        <w:rPr>
          <w:rFonts w:ascii="Times New Roman" w:hAnsi="Times New Roman" w:cs="Times New Roman"/>
          <w:sz w:val="24"/>
          <w:szCs w:val="24"/>
        </w:rPr>
        <w:t xml:space="preserve"> </w:t>
      </w:r>
      <w:proofErr w:type="gramStart"/>
      <w:r w:rsidRPr="002D19B3">
        <w:rPr>
          <w:rFonts w:ascii="Times New Roman" w:hAnsi="Times New Roman" w:cs="Times New Roman"/>
          <w:sz w:val="24"/>
          <w:szCs w:val="24"/>
        </w:rPr>
        <w:t>Dengan demikian, dapat disimpulkan bahwa pengaruh tingkat utang terhadap penghindaran pajak tidak selalu konsisten, tergantung pada konteks dan karakteristik perusahaan.</w:t>
      </w:r>
      <w:proofErr w:type="gramEnd"/>
      <w:r w:rsidRPr="002D19B3">
        <w:rPr>
          <w:rFonts w:ascii="Times New Roman" w:hAnsi="Times New Roman" w:cs="Times New Roman"/>
          <w:sz w:val="24"/>
          <w:szCs w:val="24"/>
        </w:rPr>
        <w:t xml:space="preserve"> Hasil ini menunjukkan bahwa perusahaan tidak serta-merta memanfaatkan utang sebagai sarana utama untuk menekan kewajiban pajaknya, melainkan mempertimbangkan faktor lain seperti stabilitas finansial dan pengawasan regulator.</w:t>
      </w:r>
    </w:p>
    <w:p w:rsidR="00A5167D" w:rsidRDefault="00A5167D" w:rsidP="00A5167D">
      <w:pPr>
        <w:pStyle w:val="Heading3"/>
        <w:spacing w:line="480" w:lineRule="auto"/>
      </w:pPr>
      <w:bookmarkStart w:id="32" w:name="_Toc202786242"/>
      <w:r>
        <w:t>4.3.2 Pengaruh Profitabilitas Terhadap Penghindaran Pajak</w:t>
      </w:r>
      <w:bookmarkEnd w:id="32"/>
    </w:p>
    <w:p w:rsidR="00A5167D" w:rsidRPr="00F13BA2" w:rsidRDefault="00A5167D" w:rsidP="00A5167D">
      <w:pPr>
        <w:spacing w:line="480" w:lineRule="auto"/>
        <w:ind w:firstLine="720"/>
        <w:jc w:val="both"/>
        <w:rPr>
          <w:rFonts w:ascii="Times New Roman" w:hAnsi="Times New Roman" w:cs="Times New Roman"/>
          <w:sz w:val="24"/>
          <w:szCs w:val="24"/>
        </w:rPr>
      </w:pPr>
      <w:r w:rsidRPr="00F13BA2">
        <w:rPr>
          <w:rFonts w:ascii="Times New Roman" w:hAnsi="Times New Roman" w:cs="Times New Roman"/>
          <w:sz w:val="24"/>
          <w:szCs w:val="24"/>
        </w:rPr>
        <w:t xml:space="preserve">Profitabilitas dalam penelitian ini diukur menggunakan Return on Assets (ROA), yaitu rasio yang menunjukkan kemampuan perusahaan dalam menghasilkan laba dari total aset yang dimiliki. </w:t>
      </w:r>
      <w:proofErr w:type="gramStart"/>
      <w:r w:rsidRPr="00F13BA2">
        <w:rPr>
          <w:rFonts w:ascii="Times New Roman" w:hAnsi="Times New Roman" w:cs="Times New Roman"/>
          <w:sz w:val="24"/>
          <w:szCs w:val="24"/>
        </w:rPr>
        <w:t>Hasil analisis regresi menunjukkan bahwa profitabilitas memiliki koefisien regresi sebesar -0,100 dengan nilai signifikansi sebesar 0,015.</w:t>
      </w:r>
      <w:proofErr w:type="gramEnd"/>
      <w:r w:rsidRPr="00F13BA2">
        <w:rPr>
          <w:rFonts w:ascii="Times New Roman" w:hAnsi="Times New Roman" w:cs="Times New Roman"/>
          <w:sz w:val="24"/>
          <w:szCs w:val="24"/>
        </w:rPr>
        <w:t xml:space="preserve"> Karena nilai signifikansi ini lebih kecil dari 0</w:t>
      </w:r>
      <w:proofErr w:type="gramStart"/>
      <w:r w:rsidRPr="00F13BA2">
        <w:rPr>
          <w:rFonts w:ascii="Times New Roman" w:hAnsi="Times New Roman" w:cs="Times New Roman"/>
          <w:sz w:val="24"/>
          <w:szCs w:val="24"/>
        </w:rPr>
        <w:t>,05</w:t>
      </w:r>
      <w:proofErr w:type="gramEnd"/>
      <w:r w:rsidRPr="00F13BA2">
        <w:rPr>
          <w:rFonts w:ascii="Times New Roman" w:hAnsi="Times New Roman" w:cs="Times New Roman"/>
          <w:sz w:val="24"/>
          <w:szCs w:val="24"/>
        </w:rPr>
        <w:t xml:space="preserve">, maka dapat disimpulkan bahwa profitabilitas berpengaruh secara signifikan terhadap penghindaran pajak. </w:t>
      </w:r>
      <w:proofErr w:type="gramStart"/>
      <w:r w:rsidRPr="00F13BA2">
        <w:rPr>
          <w:rFonts w:ascii="Times New Roman" w:hAnsi="Times New Roman" w:cs="Times New Roman"/>
          <w:sz w:val="24"/>
          <w:szCs w:val="24"/>
        </w:rPr>
        <w:t>Koefisien yang negatif mengindikasikan bahwa semakin tinggi profitabilitas suatu perusahaan, maka kecenderungan perusahaan tersebut untuk melakukan penghindaran pajak semakin rendah.</w:t>
      </w:r>
      <w:proofErr w:type="gramEnd"/>
    </w:p>
    <w:p w:rsidR="00A5167D" w:rsidRPr="00F13BA2" w:rsidRDefault="00A5167D" w:rsidP="00A5167D">
      <w:pPr>
        <w:spacing w:line="480" w:lineRule="auto"/>
        <w:ind w:firstLine="720"/>
        <w:jc w:val="both"/>
        <w:rPr>
          <w:rFonts w:ascii="Times New Roman" w:hAnsi="Times New Roman" w:cs="Times New Roman"/>
          <w:sz w:val="24"/>
          <w:szCs w:val="24"/>
        </w:rPr>
      </w:pPr>
      <w:r w:rsidRPr="00F13BA2">
        <w:rPr>
          <w:rFonts w:ascii="Times New Roman" w:hAnsi="Times New Roman" w:cs="Times New Roman"/>
          <w:sz w:val="24"/>
          <w:szCs w:val="24"/>
        </w:rPr>
        <w:t xml:space="preserve">Berdasarkan teori keagenan, manajer sebagai agen memiliki tanggung jawab untuk bertindak atas </w:t>
      </w:r>
      <w:proofErr w:type="gramStart"/>
      <w:r w:rsidRPr="00F13BA2">
        <w:rPr>
          <w:rFonts w:ascii="Times New Roman" w:hAnsi="Times New Roman" w:cs="Times New Roman"/>
          <w:sz w:val="24"/>
          <w:szCs w:val="24"/>
        </w:rPr>
        <w:t>nama</w:t>
      </w:r>
      <w:proofErr w:type="gramEnd"/>
      <w:r w:rsidRPr="00F13BA2">
        <w:rPr>
          <w:rFonts w:ascii="Times New Roman" w:hAnsi="Times New Roman" w:cs="Times New Roman"/>
          <w:sz w:val="24"/>
          <w:szCs w:val="24"/>
        </w:rPr>
        <w:t xml:space="preserve"> pemilik atau pemegang saham. </w:t>
      </w:r>
      <w:proofErr w:type="gramStart"/>
      <w:r w:rsidRPr="00F13BA2">
        <w:rPr>
          <w:rFonts w:ascii="Times New Roman" w:hAnsi="Times New Roman" w:cs="Times New Roman"/>
          <w:sz w:val="24"/>
          <w:szCs w:val="24"/>
        </w:rPr>
        <w:t>Perusahaan yang profitabel umumnya mendapat sorotan lebih besar dari publik, regulator, dan investor.</w:t>
      </w:r>
      <w:proofErr w:type="gramEnd"/>
      <w:r w:rsidRPr="00F13BA2">
        <w:rPr>
          <w:rFonts w:ascii="Times New Roman" w:hAnsi="Times New Roman" w:cs="Times New Roman"/>
          <w:sz w:val="24"/>
          <w:szCs w:val="24"/>
        </w:rPr>
        <w:t xml:space="preserve"> </w:t>
      </w:r>
      <w:proofErr w:type="gramStart"/>
      <w:r w:rsidRPr="00F13BA2">
        <w:rPr>
          <w:rFonts w:ascii="Times New Roman" w:hAnsi="Times New Roman" w:cs="Times New Roman"/>
          <w:sz w:val="24"/>
          <w:szCs w:val="24"/>
        </w:rPr>
        <w:t>Oleh karena itu, manajer cenderung lebih berhati-hati dalam mengambil tindakan agresif terkait pajak karena berisiko merusak reputasi perusahaan.</w:t>
      </w:r>
      <w:proofErr w:type="gramEnd"/>
      <w:r w:rsidRPr="00F13BA2">
        <w:rPr>
          <w:rFonts w:ascii="Times New Roman" w:hAnsi="Times New Roman" w:cs="Times New Roman"/>
          <w:sz w:val="24"/>
          <w:szCs w:val="24"/>
        </w:rPr>
        <w:t xml:space="preserve"> </w:t>
      </w:r>
      <w:proofErr w:type="gramStart"/>
      <w:r w:rsidRPr="00F13BA2">
        <w:rPr>
          <w:rFonts w:ascii="Times New Roman" w:hAnsi="Times New Roman" w:cs="Times New Roman"/>
          <w:sz w:val="24"/>
          <w:szCs w:val="24"/>
        </w:rPr>
        <w:t>Dengan demikian, perusahaan dengan tingkat profitabilitas yang tinggi cenderung lebih patuh terhadap kewajiban perpajakan.</w:t>
      </w:r>
      <w:proofErr w:type="gramEnd"/>
    </w:p>
    <w:p w:rsidR="00A5167D" w:rsidRDefault="00A5167D" w:rsidP="00A5167D">
      <w:pPr>
        <w:spacing w:line="480" w:lineRule="auto"/>
        <w:ind w:firstLine="720"/>
        <w:jc w:val="both"/>
        <w:rPr>
          <w:rFonts w:ascii="Times New Roman" w:hAnsi="Times New Roman" w:cs="Times New Roman"/>
          <w:sz w:val="24"/>
          <w:szCs w:val="24"/>
        </w:rPr>
      </w:pPr>
      <w:proofErr w:type="gramStart"/>
      <w:r w:rsidRPr="00F13BA2">
        <w:rPr>
          <w:rFonts w:ascii="Times New Roman" w:hAnsi="Times New Roman" w:cs="Times New Roman"/>
          <w:sz w:val="24"/>
          <w:szCs w:val="24"/>
        </w:rPr>
        <w:lastRenderedPageBreak/>
        <w:t>Hasil ini sejalan dengan temuan dari Kusumaningsih dan Mujiyati (2024), yang menyatakan bahwa perusahaan dengan tingkat profitabilitas tinggi lebih taat membayar pajak karena memiliki kemampuan finansial yang cukup dan cenderung menjaga citra perusahaan di hadapan pemangku kepentingan.</w:t>
      </w:r>
      <w:proofErr w:type="gramEnd"/>
      <w:r w:rsidRPr="00F13BA2">
        <w:rPr>
          <w:rFonts w:ascii="Times New Roman" w:hAnsi="Times New Roman" w:cs="Times New Roman"/>
          <w:sz w:val="24"/>
          <w:szCs w:val="24"/>
        </w:rPr>
        <w:t xml:space="preserve"> Mereka juga menekankan bahwa perusahaan yang memiliki banyak keuntungan </w:t>
      </w:r>
      <w:proofErr w:type="gramStart"/>
      <w:r w:rsidRPr="00F13BA2">
        <w:rPr>
          <w:rFonts w:ascii="Times New Roman" w:hAnsi="Times New Roman" w:cs="Times New Roman"/>
          <w:sz w:val="24"/>
          <w:szCs w:val="24"/>
        </w:rPr>
        <w:t>akan</w:t>
      </w:r>
      <w:proofErr w:type="gramEnd"/>
      <w:r w:rsidRPr="00F13BA2">
        <w:rPr>
          <w:rFonts w:ascii="Times New Roman" w:hAnsi="Times New Roman" w:cs="Times New Roman"/>
          <w:sz w:val="24"/>
          <w:szCs w:val="24"/>
        </w:rPr>
        <w:t xml:space="preserve"> lebih fokus pada kepatuhan fiskal demi menjaga hubungan baik dengan pemerintah dan pemegang saham.</w:t>
      </w:r>
    </w:p>
    <w:p w:rsidR="00A5167D" w:rsidRDefault="00A5167D" w:rsidP="00A5167D">
      <w:pPr>
        <w:pStyle w:val="Heading3"/>
        <w:spacing w:line="480" w:lineRule="auto"/>
      </w:pPr>
      <w:bookmarkStart w:id="33" w:name="_Toc202786243"/>
      <w:r>
        <w:t>4.3.3 Pengaruh Ukuran Perusahaan Terhadap Penghindaran Pajak</w:t>
      </w:r>
      <w:bookmarkEnd w:id="33"/>
    </w:p>
    <w:p w:rsidR="00A5167D" w:rsidRPr="00784F4A" w:rsidRDefault="00A5167D" w:rsidP="00A5167D">
      <w:pPr>
        <w:spacing w:line="480" w:lineRule="auto"/>
        <w:ind w:firstLine="720"/>
        <w:jc w:val="both"/>
        <w:rPr>
          <w:rFonts w:ascii="Times New Roman" w:hAnsi="Times New Roman" w:cs="Times New Roman"/>
          <w:sz w:val="24"/>
          <w:szCs w:val="24"/>
        </w:rPr>
      </w:pPr>
      <w:proofErr w:type="gramStart"/>
      <w:r w:rsidRPr="00784F4A">
        <w:rPr>
          <w:rFonts w:ascii="Times New Roman" w:hAnsi="Times New Roman" w:cs="Times New Roman"/>
          <w:sz w:val="24"/>
          <w:szCs w:val="24"/>
        </w:rPr>
        <w:t>Ukuran perusahaan dalam penelitian ini diukur menggunakan logaritma natural dari total aset.</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Semakin besar nilai total aset, maka semakin besar pula ukuran perusahaan.</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Berdasarkan hasil regresi, variabel ukuran perusahaan memiliki nilai koefisien sebesar 0,237 dengan nilai signifikansi sebesar 0,050.</w:t>
      </w:r>
      <w:proofErr w:type="gramEnd"/>
      <w:r w:rsidRPr="00784F4A">
        <w:rPr>
          <w:rFonts w:ascii="Times New Roman" w:hAnsi="Times New Roman" w:cs="Times New Roman"/>
          <w:sz w:val="24"/>
          <w:szCs w:val="24"/>
        </w:rPr>
        <w:t xml:space="preserve"> Nilai signifikansi ini berada tepat di batas ambang 0</w:t>
      </w:r>
      <w:proofErr w:type="gramStart"/>
      <w:r w:rsidRPr="00784F4A">
        <w:rPr>
          <w:rFonts w:ascii="Times New Roman" w:hAnsi="Times New Roman" w:cs="Times New Roman"/>
          <w:sz w:val="24"/>
          <w:szCs w:val="24"/>
        </w:rPr>
        <w:t>,05</w:t>
      </w:r>
      <w:proofErr w:type="gramEnd"/>
      <w:r w:rsidRPr="00784F4A">
        <w:rPr>
          <w:rFonts w:ascii="Times New Roman" w:hAnsi="Times New Roman" w:cs="Times New Roman"/>
          <w:sz w:val="24"/>
          <w:szCs w:val="24"/>
        </w:rPr>
        <w:t xml:space="preserve">, sehingga dapat disimpulkan bahwa ukuran perusahaan berpengaruh signifikan terhadap penghindaran pajak. </w:t>
      </w:r>
      <w:proofErr w:type="gramStart"/>
      <w:r w:rsidRPr="00784F4A">
        <w:rPr>
          <w:rFonts w:ascii="Times New Roman" w:hAnsi="Times New Roman" w:cs="Times New Roman"/>
          <w:sz w:val="24"/>
          <w:szCs w:val="24"/>
        </w:rPr>
        <w:t>Koefisien yang positif menunjukkan bahwa semakin besar ukuran perusahaan, maka kecenderungan perusahaan untuk melakukan penghindaran pajak semakin tinggi.</w:t>
      </w:r>
      <w:proofErr w:type="gramEnd"/>
    </w:p>
    <w:p w:rsidR="00A5167D" w:rsidRPr="00784F4A" w:rsidRDefault="00A5167D" w:rsidP="00A5167D">
      <w:pPr>
        <w:spacing w:line="480" w:lineRule="auto"/>
        <w:ind w:firstLine="720"/>
        <w:jc w:val="both"/>
        <w:rPr>
          <w:rFonts w:ascii="Times New Roman" w:hAnsi="Times New Roman" w:cs="Times New Roman"/>
          <w:sz w:val="24"/>
          <w:szCs w:val="24"/>
        </w:rPr>
      </w:pPr>
      <w:proofErr w:type="gramStart"/>
      <w:r w:rsidRPr="00784F4A">
        <w:rPr>
          <w:rFonts w:ascii="Times New Roman" w:hAnsi="Times New Roman" w:cs="Times New Roman"/>
          <w:sz w:val="24"/>
          <w:szCs w:val="24"/>
        </w:rPr>
        <w:t>Berdasarkan teori keagenan, perusahaan besar memiliki kompleksitas operasional yang tinggi dan tingkat asimetri informasi yang lebih besar.</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Hal ini membuat pemilik sulit memantau seluruh aktivitas manajemen, sehingga manajer memiliki lebih banyak peluang untuk menyusun strategi penghindaran pajak.</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Selain itu, perusahaan besar umumnya memiliki sumber daya dan akses ke konsultan pajak profesional, yang memungkinkan mereka menyusun perencanaan pajak yang lebih agresif namun tetap legal.</w:t>
      </w:r>
      <w:proofErr w:type="gramEnd"/>
    </w:p>
    <w:p w:rsidR="00A5167D" w:rsidRPr="00784F4A" w:rsidRDefault="00A5167D" w:rsidP="00A5167D">
      <w:pPr>
        <w:spacing w:line="480" w:lineRule="auto"/>
        <w:ind w:firstLine="720"/>
        <w:jc w:val="both"/>
        <w:rPr>
          <w:rFonts w:ascii="Times New Roman" w:hAnsi="Times New Roman" w:cs="Times New Roman"/>
          <w:sz w:val="24"/>
          <w:szCs w:val="24"/>
        </w:rPr>
      </w:pPr>
      <w:proofErr w:type="gramStart"/>
      <w:r w:rsidRPr="00784F4A">
        <w:rPr>
          <w:rFonts w:ascii="Times New Roman" w:hAnsi="Times New Roman" w:cs="Times New Roman"/>
          <w:sz w:val="24"/>
          <w:szCs w:val="24"/>
        </w:rPr>
        <w:t>Hasil ini konsisten dengan temuan beberapa penelitian terdahulu.</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 xml:space="preserve">Putri dan Yuliafitri (2024) serta Komariah dan Arini (2024) menyatakan bahwa perusahaan besar memiliki kemampuan lebih besar dalam melakukan manuver perpajakan karena struktur organisasi </w:t>
      </w:r>
      <w:r w:rsidRPr="00784F4A">
        <w:rPr>
          <w:rFonts w:ascii="Times New Roman" w:hAnsi="Times New Roman" w:cs="Times New Roman"/>
          <w:sz w:val="24"/>
          <w:szCs w:val="24"/>
        </w:rPr>
        <w:lastRenderedPageBreak/>
        <w:t>yang kompleks dan pendapatan yang tinggi.</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Kusumaningsih dan Mujiyati (2024) juga menyebutkan bahwa skala perusahaan berkorelasi positif terhadap praktik penghindaran pajak, terutama karena efisiensi perpajakan menjadi salah satu tujuan utama dalam menjaga laba bersih perusahaan besar.</w:t>
      </w:r>
      <w:proofErr w:type="gramEnd"/>
    </w:p>
    <w:p w:rsidR="00A5167D" w:rsidRDefault="00A5167D" w:rsidP="00A5167D">
      <w:pPr>
        <w:spacing w:line="480" w:lineRule="auto"/>
        <w:ind w:firstLine="720"/>
        <w:jc w:val="both"/>
        <w:rPr>
          <w:rFonts w:ascii="Times New Roman" w:hAnsi="Times New Roman" w:cs="Times New Roman"/>
          <w:sz w:val="24"/>
          <w:szCs w:val="24"/>
        </w:rPr>
      </w:pPr>
      <w:proofErr w:type="gramStart"/>
      <w:r w:rsidRPr="00784F4A">
        <w:rPr>
          <w:rFonts w:ascii="Times New Roman" w:hAnsi="Times New Roman" w:cs="Times New Roman"/>
          <w:sz w:val="24"/>
          <w:szCs w:val="24"/>
        </w:rPr>
        <w:t>Secara keseluruhan, hasil penelitian ini memperkuat pandangan bahwa perusahaan besar cenderung lebih aktif dalam menyusun strategi penghindaran pajak, baik karena dorongan efisiensi maupun kesempatan yang lebih besar akibat skala dan kompleksitas bisnis mereka.</w:t>
      </w:r>
      <w:proofErr w:type="gramEnd"/>
      <w:r w:rsidRPr="00784F4A">
        <w:rPr>
          <w:rFonts w:ascii="Times New Roman" w:hAnsi="Times New Roman" w:cs="Times New Roman"/>
          <w:sz w:val="24"/>
          <w:szCs w:val="24"/>
        </w:rPr>
        <w:t xml:space="preserve"> </w:t>
      </w:r>
      <w:proofErr w:type="gramStart"/>
      <w:r w:rsidRPr="00784F4A">
        <w:rPr>
          <w:rFonts w:ascii="Times New Roman" w:hAnsi="Times New Roman" w:cs="Times New Roman"/>
          <w:sz w:val="24"/>
          <w:szCs w:val="24"/>
        </w:rPr>
        <w:t>Temuan ini juga menunjukkan pentingnya penguatan pengawasan fiskal terhadap perusahaan besar agar dapat meminimalkan potensi manipulasi dalam pelaporan pajak.</w:t>
      </w:r>
      <w:proofErr w:type="gramEnd"/>
    </w:p>
    <w:p w:rsidR="00FC52CA" w:rsidRDefault="00FC52CA"/>
    <w:sectPr w:rsidR="00FC5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1303"/>
    <w:multiLevelType w:val="hybridMultilevel"/>
    <w:tmpl w:val="FC70E5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A766C79"/>
    <w:multiLevelType w:val="multilevel"/>
    <w:tmpl w:val="EEC22DA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b/>
        <w:bCs/>
        <w:sz w:val="24"/>
        <w:szCs w:val="3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FF6FB3"/>
    <w:multiLevelType w:val="hybridMultilevel"/>
    <w:tmpl w:val="CECE57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7D"/>
    <w:rsid w:val="008D3723"/>
    <w:rsid w:val="00A5167D"/>
    <w:rsid w:val="00FC52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7D"/>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A5167D"/>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A5167D"/>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A5167D"/>
    <w:pPr>
      <w:keepNext/>
      <w:keepLines/>
      <w:spacing w:before="160" w:after="80"/>
      <w:ind w:left="-567" w:hanging="142"/>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A5167D"/>
    <w:pPr>
      <w:keepNext/>
      <w:keepLines/>
      <w:spacing w:before="80" w:after="40" w:line="480" w:lineRule="auto"/>
      <w:ind w:left="-567" w:hanging="153"/>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7D"/>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A5167D"/>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A5167D"/>
    <w:rPr>
      <w:rFonts w:ascii="Times New Roman" w:eastAsiaTheme="majorEastAsia" w:hAnsi="Times New Roman" w:cstheme="majorBidi"/>
      <w:b/>
      <w:bCs/>
      <w:kern w:val="2"/>
      <w:sz w:val="24"/>
      <w:szCs w:val="28"/>
      <w:lang w:val="en-ID" w:bidi="th-TH"/>
      <w14:ligatures w14:val="standardContextual"/>
    </w:rPr>
  </w:style>
  <w:style w:type="character" w:customStyle="1" w:styleId="Heading4Char">
    <w:name w:val="Heading 4 Char"/>
    <w:basedOn w:val="DefaultParagraphFont"/>
    <w:link w:val="Heading4"/>
    <w:uiPriority w:val="9"/>
    <w:rsid w:val="00A5167D"/>
    <w:rPr>
      <w:rFonts w:ascii="Times New Roman" w:eastAsiaTheme="majorEastAsia" w:hAnsi="Times New Roman" w:cstheme="majorBidi"/>
      <w:b/>
      <w:bCs/>
      <w:iCs/>
      <w:kern w:val="2"/>
      <w:sz w:val="24"/>
      <w:szCs w:val="28"/>
      <w:lang w:val="en-ID" w:bidi="th-TH"/>
      <w14:ligatures w14:val="standardContextual"/>
    </w:rPr>
  </w:style>
  <w:style w:type="paragraph" w:styleId="ListParagraph">
    <w:name w:val="List Paragraph"/>
    <w:basedOn w:val="Normal"/>
    <w:uiPriority w:val="34"/>
    <w:qFormat/>
    <w:rsid w:val="00A5167D"/>
    <w:pPr>
      <w:ind w:left="720"/>
      <w:contextualSpacing/>
    </w:pPr>
  </w:style>
  <w:style w:type="paragraph" w:styleId="Caption">
    <w:name w:val="caption"/>
    <w:basedOn w:val="Normal"/>
    <w:next w:val="Normal"/>
    <w:uiPriority w:val="35"/>
    <w:unhideWhenUsed/>
    <w:qFormat/>
    <w:rsid w:val="00A5167D"/>
    <w:pPr>
      <w:spacing w:after="200" w:line="240" w:lineRule="auto"/>
    </w:pPr>
    <w:rPr>
      <w:rFonts w:cs="Angsana New"/>
      <w:i/>
      <w:iCs/>
      <w:color w:val="1F497D" w:themeColor="text2"/>
      <w:sz w:val="18"/>
      <w:szCs w:val="22"/>
    </w:rPr>
  </w:style>
  <w:style w:type="table" w:styleId="TableGrid">
    <w:name w:val="Table Grid"/>
    <w:basedOn w:val="TableNormal"/>
    <w:uiPriority w:val="39"/>
    <w:rsid w:val="00A5167D"/>
    <w:pPr>
      <w:spacing w:after="0" w:line="240" w:lineRule="auto"/>
    </w:pPr>
    <w:rPr>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67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5167D"/>
    <w:rPr>
      <w:rFonts w:ascii="Tahoma" w:hAnsi="Tahoma" w:cs="Angsana New"/>
      <w:kern w:val="2"/>
      <w:sz w:val="16"/>
      <w:szCs w:val="20"/>
      <w:lang w:val="en-ID" w:bidi="th-TH"/>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7D"/>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A5167D"/>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A5167D"/>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A5167D"/>
    <w:pPr>
      <w:keepNext/>
      <w:keepLines/>
      <w:spacing w:before="160" w:after="80"/>
      <w:ind w:left="-567" w:hanging="142"/>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A5167D"/>
    <w:pPr>
      <w:keepNext/>
      <w:keepLines/>
      <w:spacing w:before="80" w:after="40" w:line="480" w:lineRule="auto"/>
      <w:ind w:left="-567" w:hanging="153"/>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7D"/>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A5167D"/>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A5167D"/>
    <w:rPr>
      <w:rFonts w:ascii="Times New Roman" w:eastAsiaTheme="majorEastAsia" w:hAnsi="Times New Roman" w:cstheme="majorBidi"/>
      <w:b/>
      <w:bCs/>
      <w:kern w:val="2"/>
      <w:sz w:val="24"/>
      <w:szCs w:val="28"/>
      <w:lang w:val="en-ID" w:bidi="th-TH"/>
      <w14:ligatures w14:val="standardContextual"/>
    </w:rPr>
  </w:style>
  <w:style w:type="character" w:customStyle="1" w:styleId="Heading4Char">
    <w:name w:val="Heading 4 Char"/>
    <w:basedOn w:val="DefaultParagraphFont"/>
    <w:link w:val="Heading4"/>
    <w:uiPriority w:val="9"/>
    <w:rsid w:val="00A5167D"/>
    <w:rPr>
      <w:rFonts w:ascii="Times New Roman" w:eastAsiaTheme="majorEastAsia" w:hAnsi="Times New Roman" w:cstheme="majorBidi"/>
      <w:b/>
      <w:bCs/>
      <w:iCs/>
      <w:kern w:val="2"/>
      <w:sz w:val="24"/>
      <w:szCs w:val="28"/>
      <w:lang w:val="en-ID" w:bidi="th-TH"/>
      <w14:ligatures w14:val="standardContextual"/>
    </w:rPr>
  </w:style>
  <w:style w:type="paragraph" w:styleId="ListParagraph">
    <w:name w:val="List Paragraph"/>
    <w:basedOn w:val="Normal"/>
    <w:uiPriority w:val="34"/>
    <w:qFormat/>
    <w:rsid w:val="00A5167D"/>
    <w:pPr>
      <w:ind w:left="720"/>
      <w:contextualSpacing/>
    </w:pPr>
  </w:style>
  <w:style w:type="paragraph" w:styleId="Caption">
    <w:name w:val="caption"/>
    <w:basedOn w:val="Normal"/>
    <w:next w:val="Normal"/>
    <w:uiPriority w:val="35"/>
    <w:unhideWhenUsed/>
    <w:qFormat/>
    <w:rsid w:val="00A5167D"/>
    <w:pPr>
      <w:spacing w:after="200" w:line="240" w:lineRule="auto"/>
    </w:pPr>
    <w:rPr>
      <w:rFonts w:cs="Angsana New"/>
      <w:i/>
      <w:iCs/>
      <w:color w:val="1F497D" w:themeColor="text2"/>
      <w:sz w:val="18"/>
      <w:szCs w:val="22"/>
    </w:rPr>
  </w:style>
  <w:style w:type="table" w:styleId="TableGrid">
    <w:name w:val="Table Grid"/>
    <w:basedOn w:val="TableNormal"/>
    <w:uiPriority w:val="39"/>
    <w:rsid w:val="00A5167D"/>
    <w:pPr>
      <w:spacing w:after="0" w:line="240" w:lineRule="auto"/>
    </w:pPr>
    <w:rPr>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67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5167D"/>
    <w:rPr>
      <w:rFonts w:ascii="Tahoma" w:hAnsi="Tahoma" w:cs="Angsana New"/>
      <w:kern w:val="2"/>
      <w:sz w:val="16"/>
      <w:szCs w:val="20"/>
      <w:lang w:val="en-ID"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4111</Words>
  <Characters>23439</Characters>
  <Application>Microsoft Office Word</Application>
  <DocSecurity>0</DocSecurity>
  <Lines>195</Lines>
  <Paragraphs>54</Paragraphs>
  <ScaleCrop>false</ScaleCrop>
  <Company/>
  <LinksUpToDate>false</LinksUpToDate>
  <CharactersWithSpaces>27496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E_Library_SV_06</dc:creator>
  <cp:lastModifiedBy>E_Library_SV_06</cp:lastModifiedBy>
  <cp:revision>1</cp:revision>
  <dcterms:created xsi:type="dcterms:W3CDTF">2025-08-29T04:47:00Z</dcterms:created>
  <dcterms:modified xsi:type="dcterms:W3CDTF">2025-08-29T04:53:00Z</dcterms:modified>
</cp:coreProperties>
</file>