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256E" w14:textId="77777777" w:rsidR="00CC0F90" w:rsidRPr="00104244" w:rsidRDefault="00CC0F90" w:rsidP="00CC0F90">
      <w:pPr>
        <w:pStyle w:val="Heading1"/>
      </w:pPr>
      <w:bookmarkStart w:id="0" w:name="_Toc130757817"/>
      <w:r>
        <mc:AlternateContent>
          <mc:Choice Requires="wps">
            <w:drawing>
              <wp:anchor distT="0" distB="0" distL="114300" distR="114300" simplePos="0" relativeHeight="251659264" behindDoc="0" locked="0" layoutInCell="1" allowOverlap="1" wp14:anchorId="19CD7E8E" wp14:editId="7B7CDBA8">
                <wp:simplePos x="0" y="0"/>
                <wp:positionH relativeFrom="column">
                  <wp:posOffset>4675505</wp:posOffset>
                </wp:positionH>
                <wp:positionV relativeFrom="paragraph">
                  <wp:posOffset>-1060450</wp:posOffset>
                </wp:positionV>
                <wp:extent cx="558165" cy="427990"/>
                <wp:effectExtent l="635" t="0" r="3175" b="1905"/>
                <wp:wrapNone/>
                <wp:docPr id="5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B922A" w14:textId="77777777" w:rsidR="00CC0F90" w:rsidRDefault="00CC0F90" w:rsidP="00CC0F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D7E8E" id="_x0000_t202" coordsize="21600,21600" o:spt="202" path="m,l,21600r21600,l21600,xe">
                <v:stroke joinstyle="miter"/>
                <v:path gradientshapeok="t" o:connecttype="rect"/>
              </v:shapetype>
              <v:shape id="Text Box 284" o:spid="_x0000_s1026" type="#_x0000_t202" style="position:absolute;left:0;text-align:left;margin-left:368.15pt;margin-top:-83.5pt;width:43.9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" stroked="f">
                <v:textbox>
                  <w:txbxContent>
                    <w:p w14:paraId="43DB922A" w14:textId="77777777" w:rsidR="00CC0F90" w:rsidRDefault="00CC0F90" w:rsidP="00CC0F90"/>
                  </w:txbxContent>
                </v:textbox>
              </v:shape>
            </w:pict>
          </mc:Fallback>
        </mc:AlternateContent>
      </w:r>
      <w:r w:rsidRPr="00104244">
        <w:t>DAFTAR RUJUKAN</w:t>
      </w:r>
      <w:bookmarkEnd w:id="0"/>
    </w:p>
    <w:p w14:paraId="173FD471"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Pr>
          <w:rFonts w:ascii="Times New Roman" w:hAnsi="Times New Roman" w:cs="Times New Roman"/>
          <w:b/>
          <w:color w:val="000000" w:themeColor="text1"/>
          <w:sz w:val="24"/>
          <w:szCs w:val="24"/>
        </w:rPr>
        <w:fldChar w:fldCharType="begin" w:fldLock="1"/>
      </w:r>
      <w:r>
        <w:rPr>
          <w:rFonts w:ascii="Times New Roman" w:hAnsi="Times New Roman" w:cs="Times New Roman"/>
          <w:b/>
          <w:color w:val="000000" w:themeColor="text1"/>
          <w:sz w:val="24"/>
          <w:szCs w:val="24"/>
        </w:rPr>
        <w:instrText xml:space="preserve">ADDIN Mendeley Bibliography CSL_BIBLIOGRAPHY </w:instrText>
      </w:r>
      <w:r>
        <w:rPr>
          <w:rFonts w:ascii="Times New Roman" w:hAnsi="Times New Roman" w:cs="Times New Roman"/>
          <w:b/>
          <w:color w:val="000000" w:themeColor="text1"/>
          <w:sz w:val="24"/>
          <w:szCs w:val="24"/>
        </w:rPr>
        <w:fldChar w:fldCharType="separate"/>
      </w:r>
      <w:r w:rsidRPr="009D2153">
        <w:rPr>
          <w:rFonts w:ascii="Times New Roman" w:hAnsi="Times New Roman" w:cs="Times New Roman"/>
          <w:noProof/>
          <w:sz w:val="24"/>
          <w:szCs w:val="24"/>
        </w:rPr>
        <w:t xml:space="preserve">1. </w:t>
      </w:r>
      <w:r w:rsidRPr="009D2153">
        <w:rPr>
          <w:rFonts w:ascii="Times New Roman" w:hAnsi="Times New Roman" w:cs="Times New Roman"/>
          <w:noProof/>
          <w:sz w:val="24"/>
          <w:szCs w:val="24"/>
        </w:rPr>
        <w:tab/>
        <w:t xml:space="preserve">Paulo. Keputusan Menteri Kesehatan Republik Indonesia Hk.01.07/Menkes/481. 2019;2009:1–9. </w:t>
      </w:r>
    </w:p>
    <w:p w14:paraId="06C5A09C"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 </w:t>
      </w:r>
      <w:r w:rsidRPr="009D2153">
        <w:rPr>
          <w:rFonts w:ascii="Times New Roman" w:hAnsi="Times New Roman" w:cs="Times New Roman"/>
          <w:noProof/>
          <w:sz w:val="24"/>
          <w:szCs w:val="24"/>
        </w:rPr>
        <w:tab/>
        <w:t xml:space="preserve">Suwardianto H. Buku Ajar Keperawatan Kritis: Pendekatan Evidence Base Practice Nursing. Chakra Brahmanda Lentera; 2020. 81 p. </w:t>
      </w:r>
    </w:p>
    <w:p w14:paraId="66AF44EE"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3. </w:t>
      </w:r>
      <w:r w:rsidRPr="009D2153">
        <w:rPr>
          <w:rFonts w:ascii="Times New Roman" w:hAnsi="Times New Roman" w:cs="Times New Roman"/>
          <w:noProof/>
          <w:sz w:val="24"/>
          <w:szCs w:val="24"/>
        </w:rPr>
        <w:tab/>
        <w:t xml:space="preserve">Vincent JL, Marshall JC, Ñamendys-Silva SA, François B, Martin-Loeches I, Lipman J, et al. Assessment of the worldwide burden of critical illness: The Intensive Care Over Nations (ICON) audit. Lancet Respir Med. 2014;2(5):380–6. </w:t>
      </w:r>
    </w:p>
    <w:p w14:paraId="6CF44A81"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4. </w:t>
      </w:r>
      <w:r w:rsidRPr="009D2153">
        <w:rPr>
          <w:rFonts w:ascii="Times New Roman" w:hAnsi="Times New Roman" w:cs="Times New Roman"/>
          <w:noProof/>
          <w:sz w:val="24"/>
          <w:szCs w:val="24"/>
        </w:rPr>
        <w:tab/>
        <w:t xml:space="preserve">Mikkelsen ME, Still M, Anderson BJ, Bienvenu OJ, Brodsky MB, Brummel N, et al. Society of critical care medicine’s international consensus conference on prediction and identification of long-term impairments after critical illness. Crit Care Med. 2020;1670–9. </w:t>
      </w:r>
    </w:p>
    <w:p w14:paraId="72DB3437"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5. </w:t>
      </w:r>
      <w:r w:rsidRPr="009D2153">
        <w:rPr>
          <w:rFonts w:ascii="Times New Roman" w:hAnsi="Times New Roman" w:cs="Times New Roman"/>
          <w:noProof/>
          <w:sz w:val="24"/>
          <w:szCs w:val="24"/>
        </w:rPr>
        <w:tab/>
        <w:t>Garland A, Olafson K, Ramsey CD, Yogendran M, Fransoo R. Epidemiology of critically ill patients in intensive care units: A population-based observational study. Crit Care [Internet]. 2013;17(5):1. Available from: Critical Care</w:t>
      </w:r>
    </w:p>
    <w:p w14:paraId="5E6F1DD6"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6. </w:t>
      </w:r>
      <w:r w:rsidRPr="009D2153">
        <w:rPr>
          <w:rFonts w:ascii="Times New Roman" w:hAnsi="Times New Roman" w:cs="Times New Roman"/>
          <w:noProof/>
          <w:sz w:val="24"/>
          <w:szCs w:val="24"/>
        </w:rPr>
        <w:tab/>
        <w:t xml:space="preserve">Ma X, Guo X, Wang Y. Mortality prediction for ICU patients with individualized single classification method. IFAC-PapersOnLine [Internet]. 2020;53(2):16131–6. </w:t>
      </w:r>
    </w:p>
    <w:p w14:paraId="67D87E52"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7. </w:t>
      </w:r>
      <w:r w:rsidRPr="009D2153">
        <w:rPr>
          <w:rFonts w:ascii="Times New Roman" w:hAnsi="Times New Roman" w:cs="Times New Roman"/>
          <w:noProof/>
          <w:sz w:val="24"/>
          <w:szCs w:val="24"/>
        </w:rPr>
        <w:tab/>
        <w:t xml:space="preserve">JE H. Fundamentals of Nursing Vol 2- 9th Indonesian edition [Internet]. 2016. 1225 p. </w:t>
      </w:r>
    </w:p>
    <w:p w14:paraId="7772F8FC"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8. </w:t>
      </w:r>
      <w:r w:rsidRPr="009D2153">
        <w:rPr>
          <w:rFonts w:ascii="Times New Roman" w:hAnsi="Times New Roman" w:cs="Times New Roman"/>
          <w:noProof/>
          <w:sz w:val="24"/>
          <w:szCs w:val="24"/>
        </w:rPr>
        <w:tab/>
        <w:t xml:space="preserve">Hampton J. The ECG Made Easy, Ninth Edition. 2019;240. </w:t>
      </w:r>
    </w:p>
    <w:p w14:paraId="10C6DCA7"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9. </w:t>
      </w:r>
      <w:r w:rsidRPr="009D2153">
        <w:rPr>
          <w:rFonts w:ascii="Times New Roman" w:hAnsi="Times New Roman" w:cs="Times New Roman"/>
          <w:noProof/>
          <w:sz w:val="24"/>
          <w:szCs w:val="24"/>
        </w:rPr>
        <w:tab/>
        <w:t xml:space="preserve">Ardiana  dr. M. Buku Ajar Belajar Cepat EKG [Internet]. Airlangga University Press; 2021. </w:t>
      </w:r>
    </w:p>
    <w:p w14:paraId="380BA4F2" w14:textId="77777777" w:rsidR="00CC0F90"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10. </w:t>
      </w:r>
      <w:r w:rsidRPr="009D2153">
        <w:rPr>
          <w:rFonts w:ascii="Times New Roman" w:hAnsi="Times New Roman" w:cs="Times New Roman"/>
          <w:noProof/>
          <w:sz w:val="24"/>
          <w:szCs w:val="24"/>
        </w:rPr>
        <w:tab/>
        <w:t xml:space="preserve">Wang JJ, Pahlm O, Warren JW, Sapp JL, Horáček BM. Criteria for ECG detection of acute myocardial ischemia: Sensitivity versus specificity. J Electrocardiol. 2018;51(6):S12–7. </w:t>
      </w:r>
    </w:p>
    <w:p w14:paraId="31C3AD2F" w14:textId="77777777" w:rsidR="00CC0F90"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p>
    <w:p w14:paraId="3AD7B2AD"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p>
    <w:p w14:paraId="7FEE5F13"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lastRenderedPageBreak/>
        <w:t xml:space="preserve">11. </w:t>
      </w:r>
      <w:r w:rsidRPr="009D2153">
        <w:rPr>
          <w:rFonts w:ascii="Times New Roman" w:hAnsi="Times New Roman" w:cs="Times New Roman"/>
          <w:noProof/>
          <w:sz w:val="24"/>
          <w:szCs w:val="24"/>
        </w:rPr>
        <w:tab/>
        <w:t xml:space="preserve">Levy D, Labib SB, Anderson KM, Christiansen JC, Kannel WB, Castelli WP. Determinants of sensitivity and specificity of electrocardiographic criteria for left ventricular hypertrophy. Circulation [Internet]. 1990 Mar;81(3):815–20. </w:t>
      </w:r>
    </w:p>
    <w:p w14:paraId="76C25FFF"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12. </w:t>
      </w:r>
      <w:r w:rsidRPr="009D2153">
        <w:rPr>
          <w:rFonts w:ascii="Times New Roman" w:hAnsi="Times New Roman" w:cs="Times New Roman"/>
          <w:noProof/>
          <w:sz w:val="24"/>
          <w:szCs w:val="24"/>
        </w:rPr>
        <w:tab/>
        <w:t xml:space="preserve">Putra CS, Kunci K, Keperawatan :, Kesehatan P, Informatika T. PERANAN TEKNOLOGI INFORMASI DALAM PELAYANAN KEPERAWATAN DI RUMAH SAKIT. Simtika [Internet]. 2019;2(3):28–31. </w:t>
      </w:r>
    </w:p>
    <w:p w14:paraId="19E9C2D5"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13. </w:t>
      </w:r>
      <w:r w:rsidRPr="009D2153">
        <w:rPr>
          <w:rFonts w:ascii="Times New Roman" w:hAnsi="Times New Roman" w:cs="Times New Roman"/>
          <w:noProof/>
          <w:sz w:val="24"/>
          <w:szCs w:val="24"/>
        </w:rPr>
        <w:tab/>
        <w:t xml:space="preserve">Dinakarrao SMP, Jantsch A, Shafique M. Computer-aided Arrhythmia Diagnosis with Bio-signal Processing. ACM Comput Surv [Internet]. 2020 Mar 31;52(2):1–37. </w:t>
      </w:r>
    </w:p>
    <w:p w14:paraId="37E42F55"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14. </w:t>
      </w:r>
      <w:r w:rsidRPr="009D2153">
        <w:rPr>
          <w:rFonts w:ascii="Times New Roman" w:hAnsi="Times New Roman" w:cs="Times New Roman"/>
          <w:noProof/>
          <w:sz w:val="24"/>
          <w:szCs w:val="24"/>
        </w:rPr>
        <w:tab/>
        <w:t xml:space="preserve">Istiqomah T, Welina Ratnayanti K, SA FC. Pengembangan Elektrokardiografi (EKG) Portable Sebagai Wujud Teknologi Tepat Guna. Progr Stud Teknobiomedik Dep Fis Fak Sains dan Teknol Univ Airlangga. 2012; </w:t>
      </w:r>
    </w:p>
    <w:p w14:paraId="47F8B46F"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15. </w:t>
      </w:r>
      <w:r w:rsidRPr="009D2153">
        <w:rPr>
          <w:rFonts w:ascii="Times New Roman" w:hAnsi="Times New Roman" w:cs="Times New Roman"/>
          <w:noProof/>
          <w:sz w:val="24"/>
          <w:szCs w:val="24"/>
        </w:rPr>
        <w:tab/>
        <w:t xml:space="preserve">Park J, An J, Kim J, Jung S, Gil Y, Jang Y, et al. Study on the use of standard 12-lead ECG data for rhythm-type ECG classification problems. Comput Methods Programs Biomed [Internet]. 2022;214(xxxx):106521. </w:t>
      </w:r>
    </w:p>
    <w:p w14:paraId="2B2ED706"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16. </w:t>
      </w:r>
      <w:r w:rsidRPr="009D2153">
        <w:rPr>
          <w:rFonts w:ascii="Times New Roman" w:hAnsi="Times New Roman" w:cs="Times New Roman"/>
          <w:noProof/>
          <w:sz w:val="24"/>
          <w:szCs w:val="24"/>
        </w:rPr>
        <w:tab/>
        <w:t xml:space="preserve">De Bie J, Diemberger I, Mason JW. Comparison of PR, QRS, and QT interval measurements by seven ECG interpretation programs. J Electrocardiol [Internet]. 2020;63:75–82. </w:t>
      </w:r>
    </w:p>
    <w:p w14:paraId="3EFBCCB5"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17. </w:t>
      </w:r>
      <w:r w:rsidRPr="009D2153">
        <w:rPr>
          <w:rFonts w:ascii="Times New Roman" w:hAnsi="Times New Roman" w:cs="Times New Roman"/>
          <w:noProof/>
          <w:sz w:val="24"/>
          <w:szCs w:val="24"/>
        </w:rPr>
        <w:tab/>
        <w:t xml:space="preserve">Sharma A, Chatterjee S, Shetty VS, Lichstein E. Sensitivity and specificity of commonly used EKG criterion to assess left ventricular hypertrophy in centenariansSharma, A., Chatterjee, S., Shetty, V. S., &amp; Lichstein, E. (2013). Sensitivity and specificity of commonly used EKG criterion to assess left v. Int J Cardiol [Internet]. 2013;168(3):3102–3. </w:t>
      </w:r>
    </w:p>
    <w:p w14:paraId="5CE91930" w14:textId="0003C694" w:rsidR="00CC0F90"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18. </w:t>
      </w:r>
      <w:r w:rsidRPr="009D2153">
        <w:rPr>
          <w:rFonts w:ascii="Times New Roman" w:hAnsi="Times New Roman" w:cs="Times New Roman"/>
          <w:noProof/>
          <w:sz w:val="24"/>
          <w:szCs w:val="24"/>
        </w:rPr>
        <w:tab/>
        <w:t xml:space="preserve">Bressman M, Mazori A, Shulman E, Chudow JJ, Goldberg Y, Ferrick K, et al. Impact of Patient Characteristics on Sensitivity and Specificity for Left Ventricular Hypertrophy By Ecg in a Large, Diverse Patient Population. J Am Coll Cardiol [Internet]. 2019;73(9):1728. </w:t>
      </w:r>
    </w:p>
    <w:p w14:paraId="2BE5C9B3" w14:textId="77777777" w:rsidR="00CC0F90"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p>
    <w:p w14:paraId="757833AE"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p>
    <w:p w14:paraId="1F6393F9"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lastRenderedPageBreak/>
        <w:t xml:space="preserve">19. </w:t>
      </w:r>
      <w:r w:rsidRPr="009D2153">
        <w:rPr>
          <w:rFonts w:ascii="Times New Roman" w:hAnsi="Times New Roman" w:cs="Times New Roman"/>
          <w:noProof/>
          <w:sz w:val="24"/>
          <w:szCs w:val="24"/>
        </w:rPr>
        <w:tab/>
        <w:t xml:space="preserve">Maharani E. Elektrokardiografi Konsep Dasar dan Praktik Klinik. Maharani E, editor. UGM PRESS; 2018. 110 p. </w:t>
      </w:r>
    </w:p>
    <w:p w14:paraId="4A307160"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20. </w:t>
      </w:r>
      <w:r w:rsidRPr="009D2153">
        <w:rPr>
          <w:rFonts w:ascii="Times New Roman" w:hAnsi="Times New Roman" w:cs="Times New Roman"/>
          <w:noProof/>
          <w:sz w:val="24"/>
          <w:szCs w:val="24"/>
        </w:rPr>
        <w:tab/>
        <w:t xml:space="preserve">Widiastutik FN. Asuhan Keperawatan Gawat Darurat Meningitis. Politeknik Kesehatan Kementerian Kesehatan kupang. 2017. 1–38 p. </w:t>
      </w:r>
    </w:p>
    <w:p w14:paraId="3F7A5960"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21. </w:t>
      </w:r>
      <w:r w:rsidRPr="009D2153">
        <w:rPr>
          <w:rFonts w:ascii="Times New Roman" w:hAnsi="Times New Roman" w:cs="Times New Roman"/>
          <w:noProof/>
          <w:sz w:val="24"/>
          <w:szCs w:val="24"/>
        </w:rPr>
        <w:tab/>
        <w:t xml:space="preserve">Hardisman. Penelitian Diagnostik Dan Prognostik. Kencana Prenadamedia Group; 2021. </w:t>
      </w:r>
    </w:p>
    <w:p w14:paraId="53C3881F"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22. </w:t>
      </w:r>
      <w:r w:rsidRPr="009D2153">
        <w:rPr>
          <w:rFonts w:ascii="Times New Roman" w:hAnsi="Times New Roman" w:cs="Times New Roman"/>
          <w:noProof/>
          <w:sz w:val="24"/>
          <w:szCs w:val="24"/>
        </w:rPr>
        <w:tab/>
        <w:t xml:space="preserve">Bahari K, Talosig AT, Pizarro JB. Nursing Technologies Creativity as an Expression of Caring: A Grounded Theory Study. Glob Qual Nurs Res. 2021;8(77). </w:t>
      </w:r>
    </w:p>
    <w:p w14:paraId="0F49FBB6"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23. </w:t>
      </w:r>
      <w:r w:rsidRPr="009D2153">
        <w:rPr>
          <w:rFonts w:ascii="Times New Roman" w:hAnsi="Times New Roman" w:cs="Times New Roman"/>
          <w:noProof/>
          <w:sz w:val="24"/>
          <w:szCs w:val="24"/>
        </w:rPr>
        <w:tab/>
        <w:t xml:space="preserve">Manley B. Advancing the Theory of Technological Competency as Caring in Nursing: The Universal Technological Domain. Int J Hum Caring. 2015;19(2):50–4. </w:t>
      </w:r>
    </w:p>
    <w:p w14:paraId="244A1E8E"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24. </w:t>
      </w:r>
      <w:r w:rsidRPr="009D2153">
        <w:rPr>
          <w:rFonts w:ascii="Times New Roman" w:hAnsi="Times New Roman" w:cs="Times New Roman"/>
          <w:noProof/>
          <w:sz w:val="24"/>
          <w:szCs w:val="24"/>
        </w:rPr>
        <w:tab/>
        <w:t xml:space="preserve">Romulo F. Baltazar. Basic and Bedside Electrocardiography. Baltimore: Lippincott Williams &amp; Wilkins.; 2013. </w:t>
      </w:r>
    </w:p>
    <w:p w14:paraId="4A82F238"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25. </w:t>
      </w:r>
      <w:r w:rsidRPr="009D2153">
        <w:rPr>
          <w:rFonts w:ascii="Times New Roman" w:hAnsi="Times New Roman" w:cs="Times New Roman"/>
          <w:noProof/>
          <w:sz w:val="24"/>
          <w:szCs w:val="24"/>
        </w:rPr>
        <w:tab/>
        <w:t xml:space="preserve">I Made Sudarma Adiputra NWT, Ni Putu Wiwik Oktaviani SAM, Victor Trismanjaya Hulu, Indah Budiastutik AF, Radeny Ramdany, Rosmauli Jerimia Fitriani POAT, Baiq Fitria Rahmiati SAL, Andi Susilawaty, Efendi Sianturi S. Metodologi Penelitian Kesehatan. Yayasan Kita Menulis; 2021. </w:t>
      </w:r>
    </w:p>
    <w:p w14:paraId="1C9336DF"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26. </w:t>
      </w:r>
      <w:r w:rsidRPr="009D2153">
        <w:rPr>
          <w:rFonts w:ascii="Times New Roman" w:hAnsi="Times New Roman" w:cs="Times New Roman"/>
          <w:noProof/>
          <w:sz w:val="24"/>
          <w:szCs w:val="24"/>
        </w:rPr>
        <w:tab/>
        <w:t xml:space="preserve">Kurniawan Heru. Pengantar Praktis Penyusunan Instrumen Penelitian. CV Budi Utama; 2021. 1 p. </w:t>
      </w:r>
    </w:p>
    <w:p w14:paraId="56ACCB66"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27. </w:t>
      </w:r>
      <w:r w:rsidRPr="009D2153">
        <w:rPr>
          <w:rFonts w:ascii="Times New Roman" w:hAnsi="Times New Roman" w:cs="Times New Roman"/>
          <w:noProof/>
          <w:sz w:val="24"/>
          <w:szCs w:val="24"/>
        </w:rPr>
        <w:tab/>
        <w:t xml:space="preserve">Abubakar R. Pengantar Metodologi Penelitian. Antasari Press. 2021. 129 p. </w:t>
      </w:r>
    </w:p>
    <w:p w14:paraId="3E03DF59"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28. </w:t>
      </w:r>
      <w:r w:rsidRPr="009D2153">
        <w:rPr>
          <w:rFonts w:ascii="Times New Roman" w:hAnsi="Times New Roman" w:cs="Times New Roman"/>
          <w:noProof/>
          <w:sz w:val="24"/>
          <w:szCs w:val="24"/>
        </w:rPr>
        <w:tab/>
        <w:t xml:space="preserve">Jiwantoro YA. Riset Keperawatan. Mitra Wacana Media; 2017. 35–40 p. </w:t>
      </w:r>
    </w:p>
    <w:p w14:paraId="359C2443"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29. </w:t>
      </w:r>
      <w:r w:rsidRPr="009D2153">
        <w:rPr>
          <w:rFonts w:ascii="Times New Roman" w:hAnsi="Times New Roman" w:cs="Times New Roman"/>
          <w:noProof/>
          <w:sz w:val="24"/>
          <w:szCs w:val="24"/>
        </w:rPr>
        <w:tab/>
        <w:t xml:space="preserve">Kim, J. H., &amp; Kim JH. The diagnostic accuracy of electrocardiography in diagnosing coronary artery disease: a systematic review and meta-analysis. Ann Emerg Med. 2016; </w:t>
      </w:r>
    </w:p>
    <w:p w14:paraId="4227EA64"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30. </w:t>
      </w:r>
      <w:r w:rsidRPr="009D2153">
        <w:rPr>
          <w:rFonts w:ascii="Times New Roman" w:hAnsi="Times New Roman" w:cs="Times New Roman"/>
          <w:noProof/>
          <w:sz w:val="24"/>
          <w:szCs w:val="24"/>
        </w:rPr>
        <w:tab/>
        <w:t xml:space="preserve">Avsar, A., Kocak, G., Ekmekci, A., &amp; Bicer M. Comparison of the accuracy and reliability of a new portable electrocardiogram device with a standard 12-lead electrocardiogram in patients with suspected cardiac arrhythmia. Ann Noninvasive Electrocardiol. 2019; </w:t>
      </w:r>
    </w:p>
    <w:p w14:paraId="1057E62F"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31. </w:t>
      </w:r>
      <w:r w:rsidRPr="009D2153">
        <w:rPr>
          <w:rFonts w:ascii="Times New Roman" w:hAnsi="Times New Roman" w:cs="Times New Roman"/>
          <w:noProof/>
          <w:sz w:val="24"/>
          <w:szCs w:val="24"/>
        </w:rPr>
        <w:tab/>
        <w:t xml:space="preserve">Kamakura, T., Watanabe, I., Imai, K., &amp; Watanabe Y. Comparison of the sensitivity and specificity of ECGs recorded by different electrocardiographs </w:t>
      </w:r>
      <w:r w:rsidRPr="009D2153">
        <w:rPr>
          <w:rFonts w:ascii="Times New Roman" w:hAnsi="Times New Roman" w:cs="Times New Roman"/>
          <w:noProof/>
          <w:sz w:val="24"/>
          <w:szCs w:val="24"/>
        </w:rPr>
        <w:lastRenderedPageBreak/>
        <w:t xml:space="preserve">for the diagnosis of atrial fibrillation. J Electrocardiol. 2018; </w:t>
      </w:r>
    </w:p>
    <w:p w14:paraId="1726431D"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32. </w:t>
      </w:r>
      <w:r w:rsidRPr="009D2153">
        <w:rPr>
          <w:rFonts w:ascii="Times New Roman" w:hAnsi="Times New Roman" w:cs="Times New Roman"/>
          <w:noProof/>
          <w:sz w:val="24"/>
          <w:szCs w:val="24"/>
        </w:rPr>
        <w:tab/>
        <w:t xml:space="preserve">Takahashi, H., Tanaka, M., Ito, H., Yoshida, Y., Okada, M., &amp; Ishii J. Sensitivity and specificity of Nihon Kohden 1250A ECG system for the detection of coronary artery disease in low-risk patients. J Electrocardiol. 2014; </w:t>
      </w:r>
    </w:p>
    <w:p w14:paraId="31E95F31"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33. </w:t>
      </w:r>
      <w:r w:rsidRPr="009D2153">
        <w:rPr>
          <w:rFonts w:ascii="Times New Roman" w:hAnsi="Times New Roman" w:cs="Times New Roman"/>
          <w:noProof/>
          <w:sz w:val="24"/>
          <w:szCs w:val="24"/>
        </w:rPr>
        <w:tab/>
        <w:t>Zhou X-H, Obuchowski NA, McClish DK. Statistical Methods in Diagnostic Medicine [Internet]. Hoboken, NJ, USA: John Wiley &amp; Sons, Inc.; 2011. (Wiley Series in Probability and Statistics).</w:t>
      </w:r>
    </w:p>
    <w:p w14:paraId="60F5A25B"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34. </w:t>
      </w:r>
      <w:r w:rsidRPr="009D2153">
        <w:rPr>
          <w:rFonts w:ascii="Times New Roman" w:hAnsi="Times New Roman" w:cs="Times New Roman"/>
          <w:noProof/>
          <w:sz w:val="24"/>
          <w:szCs w:val="24"/>
        </w:rPr>
        <w:tab/>
        <w:t xml:space="preserve">Zafari, A. M., Hamdan, M. H., Shokr, M., &amp; Atallah R. The importance of sensitivity and specificity of ECG device in predicting cardiovascular risk in critical care patients. J Clin Med Res. 2020; </w:t>
      </w:r>
    </w:p>
    <w:p w14:paraId="4A6268CE"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szCs w:val="24"/>
        </w:rPr>
      </w:pPr>
      <w:r w:rsidRPr="009D2153">
        <w:rPr>
          <w:rFonts w:ascii="Times New Roman" w:hAnsi="Times New Roman" w:cs="Times New Roman"/>
          <w:noProof/>
          <w:sz w:val="24"/>
          <w:szCs w:val="24"/>
        </w:rPr>
        <w:t xml:space="preserve">35. </w:t>
      </w:r>
      <w:r w:rsidRPr="009D2153">
        <w:rPr>
          <w:rFonts w:ascii="Times New Roman" w:hAnsi="Times New Roman" w:cs="Times New Roman"/>
          <w:noProof/>
          <w:sz w:val="24"/>
          <w:szCs w:val="24"/>
        </w:rPr>
        <w:tab/>
        <w:t xml:space="preserve">Rueda C, Fernández I, Larriba Y, Rodríguez-Collado A, Canedo C. Compelling new electrocardiographic markers for automatic diagnosis. Comput Methods Programs Biomed [Internet]. 2022;221:106807. </w:t>
      </w:r>
    </w:p>
    <w:p w14:paraId="3C5B8851" w14:textId="77777777" w:rsidR="00CC0F90" w:rsidRPr="009D2153" w:rsidRDefault="00CC0F90" w:rsidP="00CC0F90">
      <w:pPr>
        <w:widowControl w:val="0"/>
        <w:autoSpaceDE w:val="0"/>
        <w:autoSpaceDN w:val="0"/>
        <w:adjustRightInd w:val="0"/>
        <w:spacing w:after="0"/>
        <w:ind w:left="640" w:hanging="640"/>
        <w:jc w:val="both"/>
        <w:rPr>
          <w:rFonts w:ascii="Times New Roman" w:hAnsi="Times New Roman" w:cs="Times New Roman"/>
          <w:noProof/>
          <w:sz w:val="24"/>
        </w:rPr>
      </w:pPr>
      <w:r w:rsidRPr="009D2153">
        <w:rPr>
          <w:rFonts w:ascii="Times New Roman" w:hAnsi="Times New Roman" w:cs="Times New Roman"/>
          <w:noProof/>
          <w:sz w:val="24"/>
          <w:szCs w:val="24"/>
        </w:rPr>
        <w:t xml:space="preserve">36. </w:t>
      </w:r>
      <w:r w:rsidRPr="009D2153">
        <w:rPr>
          <w:rFonts w:ascii="Times New Roman" w:hAnsi="Times New Roman" w:cs="Times New Roman"/>
          <w:noProof/>
          <w:sz w:val="24"/>
          <w:szCs w:val="24"/>
        </w:rPr>
        <w:tab/>
        <w:t xml:space="preserve">Zhou, Z., Wang, Y., &amp; Liu X. Sensitivity and specificity of electrocardiogram (ECG) in early diagnosis of acute coronary syndrome. Medicine (Baltimore). 2020; </w:t>
      </w:r>
    </w:p>
    <w:p w14:paraId="1E897155" w14:textId="77777777" w:rsidR="00CC0F90" w:rsidRDefault="00CC0F90" w:rsidP="00CC0F90">
      <w:pPr>
        <w:widowControl w:val="0"/>
        <w:autoSpaceDE w:val="0"/>
        <w:autoSpaceDN w:val="0"/>
        <w:adjustRightInd w:val="0"/>
        <w:spacing w:after="0"/>
        <w:ind w:left="640" w:hanging="640"/>
        <w:jc w:val="both"/>
        <w:rPr>
          <w:rFonts w:ascii="Times New Roman" w:hAnsi="Times New Roman" w:cs="Times New Roman"/>
          <w:b/>
          <w:color w:val="000000" w:themeColor="text1"/>
          <w:sz w:val="24"/>
          <w:szCs w:val="24"/>
        </w:rPr>
        <w:sectPr w:rsidR="00CC0F90" w:rsidSect="0042619F">
          <w:pgSz w:w="11906" w:h="16838" w:code="9"/>
          <w:pgMar w:top="2268" w:right="1701" w:bottom="1701" w:left="2268" w:header="709" w:footer="709" w:gutter="0"/>
          <w:pgNumType w:start="69"/>
          <w:cols w:space="708"/>
          <w:docGrid w:linePitch="360"/>
        </w:sectPr>
      </w:pPr>
      <w:r>
        <w:rPr>
          <w:rFonts w:ascii="Times New Roman" w:hAnsi="Times New Roman" w:cs="Times New Roman"/>
          <w:b/>
          <w:color w:val="000000" w:themeColor="text1"/>
          <w:sz w:val="24"/>
          <w:szCs w:val="24"/>
        </w:rPr>
        <w:fldChar w:fldCharType="end"/>
      </w:r>
    </w:p>
    <w:p w14:paraId="47C167DD" w14:textId="77777777" w:rsidR="00A12E0D" w:rsidRDefault="00A12E0D"/>
    <w:sectPr w:rsidR="00A12E0D" w:rsidSect="00CC0F9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90"/>
    <w:rsid w:val="00A12E0D"/>
    <w:rsid w:val="00CC0F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DEF5"/>
  <w15:chartTrackingRefBased/>
  <w15:docId w15:val="{2849FBFD-8C2C-4F0A-B467-9A938FF7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90"/>
    <w:pPr>
      <w:spacing w:after="200" w:line="360" w:lineRule="auto"/>
    </w:pPr>
    <w:rPr>
      <w:kern w:val="0"/>
      <w:lang w:val="id-ID"/>
      <w14:ligatures w14:val="none"/>
    </w:rPr>
  </w:style>
  <w:style w:type="paragraph" w:styleId="Heading1">
    <w:name w:val="heading 1"/>
    <w:basedOn w:val="Normal"/>
    <w:next w:val="Normal"/>
    <w:link w:val="Heading1Char"/>
    <w:uiPriority w:val="9"/>
    <w:qFormat/>
    <w:rsid w:val="00CC0F90"/>
    <w:pPr>
      <w:jc w:val="center"/>
      <w:outlineLvl w:val="0"/>
    </w:pPr>
    <w:rPr>
      <w:rFonts w:ascii="Times New Roman" w:hAnsi="Times New Roman" w:cs="Times New Roman"/>
      <w:b/>
      <w:noProof/>
      <w:color w:val="000000" w:themeColor="text1"/>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F90"/>
    <w:rPr>
      <w:rFonts w:ascii="Times New Roman" w:hAnsi="Times New Roman" w:cs="Times New Roman"/>
      <w:b/>
      <w:noProof/>
      <w:color w:val="000000" w:themeColor="text1"/>
      <w:kern w:val="0"/>
      <w:sz w:val="24"/>
      <w:szCs w:val="24"/>
      <w:lang w:val="id-ID" w:eastAsia="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2023-03-26T18:09:00Z</dcterms:created>
  <dcterms:modified xsi:type="dcterms:W3CDTF">2023-03-26T18:10:00Z</dcterms:modified>
</cp:coreProperties>
</file>