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5232" w14:textId="30F0CA76" w:rsidR="00702853" w:rsidRPr="006A1391" w:rsidRDefault="00A14DBD" w:rsidP="006A1391">
      <w:pPr>
        <w:pStyle w:val="Heading1"/>
        <w:spacing w:line="360" w:lineRule="auto"/>
        <w:ind w:left="0" w:right="13"/>
        <w:jc w:val="center"/>
      </w:pPr>
      <w:bookmarkStart w:id="0" w:name="_Toc235560200"/>
      <w:r w:rsidRPr="006A1391">
        <w:t xml:space="preserve">BAB I </w:t>
      </w:r>
      <w:r w:rsidR="006A1391">
        <w:br/>
      </w:r>
      <w:r w:rsidRPr="006A1391">
        <w:t>PENDAHULUAN</w:t>
      </w:r>
      <w:bookmarkEnd w:id="0"/>
    </w:p>
    <w:p w14:paraId="7BC52585" w14:textId="77777777" w:rsidR="00702853" w:rsidRPr="008F4140" w:rsidRDefault="00702853" w:rsidP="008F4140">
      <w:pPr>
        <w:pStyle w:val="BodyText"/>
        <w:spacing w:line="360" w:lineRule="auto"/>
        <w:ind w:left="0" w:right="0"/>
        <w:jc w:val="left"/>
        <w:rPr>
          <w:rFonts w:cs="Times New Roman"/>
          <w:b/>
        </w:rPr>
      </w:pPr>
    </w:p>
    <w:p w14:paraId="30636D99" w14:textId="05812993" w:rsidR="00702853" w:rsidRPr="008F4140" w:rsidRDefault="00A14DBD" w:rsidP="00A44E24">
      <w:pPr>
        <w:pStyle w:val="Heading2"/>
        <w:numPr>
          <w:ilvl w:val="1"/>
          <w:numId w:val="1"/>
        </w:numPr>
        <w:tabs>
          <w:tab w:val="left" w:pos="567"/>
        </w:tabs>
        <w:ind w:left="0" w:firstLine="0"/>
        <w:rPr>
          <w:rFonts w:cs="Times New Roman"/>
        </w:rPr>
      </w:pPr>
      <w:bookmarkStart w:id="1" w:name="_Toc235560201"/>
      <w:r w:rsidRPr="008F4140">
        <w:rPr>
          <w:rFonts w:cs="Times New Roman"/>
        </w:rPr>
        <w:t>Latar</w:t>
      </w:r>
      <w:r w:rsidRPr="008F4140">
        <w:rPr>
          <w:rFonts w:cs="Times New Roman"/>
          <w:spacing w:val="-5"/>
        </w:rPr>
        <w:t xml:space="preserve"> </w:t>
      </w:r>
      <w:r w:rsidRPr="008F4140">
        <w:rPr>
          <w:rFonts w:cs="Times New Roman"/>
          <w:spacing w:val="-2"/>
        </w:rPr>
        <w:t>Belakang</w:t>
      </w:r>
      <w:bookmarkEnd w:id="1"/>
    </w:p>
    <w:p w14:paraId="672960B6" w14:textId="4B5B4A9F" w:rsidR="006718EB" w:rsidRDefault="006A1391" w:rsidP="00F07182">
      <w:pPr>
        <w:tabs>
          <w:tab w:val="left" w:pos="567"/>
        </w:tabs>
        <w:adjustRightInd w:val="0"/>
        <w:rPr>
          <w:rFonts w:cs="Times New Roman"/>
          <w:szCs w:val="24"/>
          <w:lang w:val="en-US"/>
        </w:rPr>
      </w:pPr>
      <w:r>
        <w:rPr>
          <w:rFonts w:cs="Times New Roman"/>
          <w:szCs w:val="24"/>
        </w:rPr>
        <w:tab/>
      </w:r>
      <w:r w:rsidR="00E7547F" w:rsidRPr="00E7547F">
        <w:rPr>
          <w:rFonts w:cs="Times New Roman"/>
          <w:szCs w:val="24"/>
        </w:rPr>
        <w:t>Pengelolaan perusahaan telah bergeser dari orientasi tunggal pada keuntungan pemegang saham menuju tanggung jawab sosial yang lebih luas kepada karyawan, masyarakat, dan lingkungan</w:t>
      </w:r>
      <w:r w:rsidR="00E7547F">
        <w:rPr>
          <w:rFonts w:cs="Times New Roman"/>
          <w:szCs w:val="24"/>
          <w:lang w:val="en-US"/>
        </w:rPr>
        <w:t xml:space="preserve"> </w:t>
      </w:r>
      <w:r w:rsidR="003D50C6">
        <w:rPr>
          <w:rFonts w:cs="Times New Roman"/>
          <w:szCs w:val="24"/>
        </w:rPr>
        <w:fldChar w:fldCharType="begin" w:fldLock="1"/>
      </w:r>
      <w:r w:rsidR="0097343C">
        <w:rPr>
          <w:rFonts w:cs="Times New Roman"/>
          <w:szCs w:val="24"/>
        </w:rPr>
        <w:instrText>ADDIN CSL_CITATION {"citationItems":[{"id":"ITEM-1","itemData":{"DOI":"10.55927/eajmr.v4i11.461","abstract":"This research aims to map the integration of Corporate Social Responsibility (CSR) and Environmental, Social, and Governance (ESG) in modern corporate strategies and their implications for social and environmental accountability. CSR, which was originally understood as a philanthropic activity, is now transformed into a corporate value framework and purpose, while ESG is developing as a data-driven measurement, audit, and reporting tool for the benefit of investors, regulators, and capital markets. The results of the analysis show that the harmonization of post-2020 global standards—such as ISSB, CSRD, and TCFD—makes ESG not just a voluntary instrument, but part of mandatory disclosure that links sustainability with financial risk mitigation. Thus, the successful integration of the two requires strengthening regulations, data verification, and effective governance in order to be able to create real and sustainable socio-environmental impacts, not just reputational legitimacy.","author":[{"dropping-particle":"","family":"Thamara","given":"Shely Dinar","non-dropping-particle":"","parse-names":false,"suffix":""},{"dropping-particle":"","family":"Andriani","given":"Nurita","non-dropping-particle":"","parse-names":false,"suffix":""},{"dropping-particle":"","family":"Syarif","given":"Muhammad","non-dropping-particle":"","parse-names":false,"suffix":""}],"container-title":"East Asian Journal of Multidisciplinary Research","id":"ITEM-1","issue":"11","issued":{"date-parts":[["2025"]]},"page":"5407-5416","title":"Integration of CSR and ESG into Corporate Strategies in Realizing Social-Environmental Accountability: Systematic Literature Review","type":"article-journal","volume":"4"},"uris":["http://www.mendeley.com/documents/?uuid=54662c02-332a-49f3-b852-a15ab54b12cb"]}],"mendeley":{"formattedCitation":"(Thamara et al., 2025)","plainTextFormattedCitation":"(Thamara et al., 2025)","previouslyFormattedCitation":"(Thamara et al., 2025)"},"properties":{"noteIndex":0},"schema":"https://github.com/citation-style-language/schema/raw/master/csl-citation.json"}</w:instrText>
      </w:r>
      <w:r w:rsidR="003D50C6">
        <w:rPr>
          <w:rFonts w:cs="Times New Roman"/>
          <w:szCs w:val="24"/>
        </w:rPr>
        <w:fldChar w:fldCharType="separate"/>
      </w:r>
      <w:r w:rsidR="0097343C" w:rsidRPr="0097343C">
        <w:rPr>
          <w:rFonts w:cs="Times New Roman"/>
          <w:noProof/>
          <w:szCs w:val="24"/>
        </w:rPr>
        <w:t>(Thamara et al., 2025)</w:t>
      </w:r>
      <w:r w:rsidR="003D50C6">
        <w:rPr>
          <w:rFonts w:cs="Times New Roman"/>
          <w:szCs w:val="24"/>
        </w:rPr>
        <w:fldChar w:fldCharType="end"/>
      </w:r>
      <w:r w:rsidR="003D50C6">
        <w:rPr>
          <w:rFonts w:cs="Times New Roman"/>
          <w:szCs w:val="24"/>
          <w:lang w:val="en-US"/>
        </w:rPr>
        <w:t xml:space="preserve">. </w:t>
      </w:r>
    </w:p>
    <w:p w14:paraId="5CCBA7CF" w14:textId="2DC58F65" w:rsidR="0005083E" w:rsidRDefault="006718EB" w:rsidP="00F07182">
      <w:pPr>
        <w:tabs>
          <w:tab w:val="left" w:pos="567"/>
        </w:tabs>
        <w:adjustRightInd w:val="0"/>
        <w:rPr>
          <w:rFonts w:cs="Times New Roman"/>
          <w:szCs w:val="24"/>
          <w:lang w:val="en-US"/>
        </w:rPr>
      </w:pPr>
      <w:r>
        <w:rPr>
          <w:rFonts w:cs="Times New Roman"/>
          <w:szCs w:val="24"/>
          <w:lang w:val="en-US"/>
        </w:rPr>
        <w:tab/>
      </w:r>
      <w:r w:rsidR="00E7547F" w:rsidRPr="00E7547F">
        <w:rPr>
          <w:rFonts w:cs="Times New Roman"/>
          <w:szCs w:val="24"/>
        </w:rPr>
        <w:t xml:space="preserve">Komitmen global seperti SDGs 2030 dan Perjanjian Paris turut mendorong penguatan praktik </w:t>
      </w:r>
      <w:r w:rsidR="00E7547F" w:rsidRPr="00E7547F">
        <w:rPr>
          <w:rFonts w:cs="Times New Roman"/>
          <w:i/>
          <w:iCs/>
          <w:szCs w:val="24"/>
        </w:rPr>
        <w:t>Corporate Social Responsibility</w:t>
      </w:r>
      <w:r w:rsidR="00E7547F" w:rsidRPr="00E7547F">
        <w:rPr>
          <w:rFonts w:cs="Times New Roman"/>
          <w:szCs w:val="24"/>
        </w:rPr>
        <w:t xml:space="preserve"> (CSR) sebagai bagian tak terpisahkan dari strategi keberlanjutan bisnis</w:t>
      </w:r>
      <w:r w:rsidR="003D50C6">
        <w:rPr>
          <w:rFonts w:cs="Times New Roman"/>
          <w:szCs w:val="24"/>
          <w:lang w:val="en-US"/>
        </w:rPr>
        <w:t xml:space="preserve"> </w:t>
      </w:r>
      <w:r w:rsidR="003D50C6">
        <w:rPr>
          <w:rFonts w:cs="Times New Roman"/>
          <w:szCs w:val="24"/>
          <w:lang w:val="en-US"/>
        </w:rPr>
        <w:fldChar w:fldCharType="begin" w:fldLock="1"/>
      </w:r>
      <w:r w:rsidR="0097343C">
        <w:rPr>
          <w:rFonts w:cs="Times New Roman"/>
          <w:szCs w:val="24"/>
          <w:lang w:val="en-US"/>
        </w:rPr>
        <w:instrText>ADDIN CSL_CITATION {"citationItems":[{"id":"ITEM-1","itemData":{"author":[{"dropping-particle":"","family":"Endah","given":"Wahyu","non-dropping-particle":"","parse-names":false,"suffix":""},{"dropping-particle":"","family":"Putri","given":"Christiani","non-dropping-particle":"","parse-names":false,"suffix":""},{"dropping-particle":"","family":"Zamroni","given":"Akhmad","non-dropping-particle":"","parse-names":false,"suffix":""},{"dropping-particle":"","family":"Ceballos","given":"Roel F","non-dropping-particle":"","parse-names":false,"suffix":""},{"dropping-particle":"","family":"Nolos","given":"Ronnel C","non-dropping-particle":"","parse-names":false,"suffix":""}],"id":"ITEM-1","issued":{"date-parts":[["2026"]]},"title":"Corporate Social Responsibility and Climate Action: Assessing IndonesianMining Companies’ Contributions to SDG 13","type":"article-journal"},"uris":["http://www.mendeley.com/documents/?uuid=c7de42b3-87a6-405a-b7a8-e400f369f105"]}],"mendeley":{"formattedCitation":"(Endah et al., 2026)","plainTextFormattedCitation":"(Endah et al., 2026)","previouslyFormattedCitation":"(Endah et al., 2026)"},"properties":{"noteIndex":0},"schema":"https://github.com/citation-style-language/schema/raw/master/csl-citation.json"}</w:instrText>
      </w:r>
      <w:r w:rsidR="003D50C6">
        <w:rPr>
          <w:rFonts w:cs="Times New Roman"/>
          <w:szCs w:val="24"/>
          <w:lang w:val="en-US"/>
        </w:rPr>
        <w:fldChar w:fldCharType="separate"/>
      </w:r>
      <w:r w:rsidR="0097343C" w:rsidRPr="0097343C">
        <w:rPr>
          <w:rFonts w:cs="Times New Roman"/>
          <w:noProof/>
          <w:szCs w:val="24"/>
          <w:lang w:val="en-US"/>
        </w:rPr>
        <w:t>(Endah et al., 2026)</w:t>
      </w:r>
      <w:r w:rsidR="003D50C6">
        <w:rPr>
          <w:rFonts w:cs="Times New Roman"/>
          <w:szCs w:val="24"/>
          <w:lang w:val="en-US"/>
        </w:rPr>
        <w:fldChar w:fldCharType="end"/>
      </w:r>
      <w:r w:rsidR="003D50C6">
        <w:rPr>
          <w:rFonts w:cs="Times New Roman"/>
          <w:szCs w:val="24"/>
          <w:lang w:val="en-US"/>
        </w:rPr>
        <w:t>.</w:t>
      </w:r>
      <w:r w:rsidR="00E7547F">
        <w:rPr>
          <w:rFonts w:cs="Times New Roman"/>
          <w:szCs w:val="24"/>
          <w:lang w:val="en-US"/>
        </w:rPr>
        <w:t xml:space="preserve"> </w:t>
      </w:r>
      <w:r w:rsidR="00E7547F" w:rsidRPr="00E7547F">
        <w:rPr>
          <w:rFonts w:cs="Times New Roman"/>
          <w:szCs w:val="24"/>
        </w:rPr>
        <w:t>Kondisi ini menuntut perusahaan menyediakan bukti nyata komitmen sosial-lingkungan, karena hubungan baik dengan pemangku kepentingan berkontribusi positif terhadap nilai perusahaan</w:t>
      </w:r>
      <w:r w:rsidR="00E7547F">
        <w:rPr>
          <w:rFonts w:cs="Times New Roman"/>
          <w:szCs w:val="24"/>
          <w:lang w:val="en-US"/>
        </w:rPr>
        <w:t xml:space="preserve"> </w:t>
      </w:r>
      <w:r w:rsidR="003D50C6">
        <w:rPr>
          <w:rFonts w:cs="Times New Roman"/>
          <w:szCs w:val="24"/>
          <w:lang w:val="en-US"/>
        </w:rPr>
        <w:fldChar w:fldCharType="begin" w:fldLock="1"/>
      </w:r>
      <w:r w:rsidR="0097343C">
        <w:rPr>
          <w:rFonts w:cs="Times New Roman"/>
          <w:szCs w:val="24"/>
          <w:lang w:val="en-US"/>
        </w:rPr>
        <w:instrText>ADDIN CSL_CITATION {"citationItems":[{"id":"ITEM-1","itemData":{"DOI":"10.36080/ag.v13i2.4195","ISSN":"2338-431X","abstract":"ABSTRAK Corporate Social Responsibility (CSR) merupakan bentuk tanggung jawab sosial institusi terhadap masyarakat dan lingkungan sekitar yang berfungsi tidak hanya sebagai kewajiban moral, tetapi juga sebagai strategi membangun hubungan harmonis antara institusi dan publik. Universitas Budi Luhur sebagai lembaga pendidikan tinggi melaksanakan program CSR di Desa Banjar Agung Ilir, Tanggamus, Lampung, melalui kegiatan pengobatan gratis, pembagian sembako, dan santunan kepada panti asuhan. Penelitian ini menggunakan pendekatan kualitatif deskriptif dengan metode wawancara mendalam terhadap pejabat desa dan masyarakat, dilaksanakan pada Juli–September 2025. Berdasarkan Teori Stakeholder (Freeman, 1984), penelitian ini menganalisis persepsi masyarakat terhadap pelaksanaan CSR universitas. Hasil penelitian menunjukkan bahwa kegiatan CSR Universitas Budi Luhur memberikan dampak positif yang signifikan, terutama dalam bidang kesehatan dan sosial, serta memperkuat citra universitas sebagai lembaga pendidikan yang peduli dan berorientasi pada pemberdayaan masyarakat. Pelaksanaan CSR ini mencerminkan tanggung jawab sosial universitas terhadap pemangku kepentingan eksternal sekaligus menjadi wujud nyata implementasi Tri Dharma Perguruan Tinggi dalam pengabdian kepada masyarakat. Kata kunci: CSR, Masyarakat, Persepsi, Universitas Budi Luhur.","author":[{"dropping-particle":"","family":"Lestari","given":"Rini","non-dropping-particle":"","parse-names":false,"suffix":""},{"dropping-particle":"","family":"Alam","given":"Sukma","non-dropping-particle":"","parse-names":false,"suffix":""},{"dropping-particle":"","family":"Lokananta","given":"Arbi Cristional","non-dropping-particle":"","parse-names":false,"suffix":""},{"dropping-particle":"","family":"Reza","given":"Yuliana Choerul","non-dropping-particle":"","parse-names":false,"suffix":""}],"container-title":"Avant Garde","id":"ITEM-1","issue":"2","issued":{"date-parts":[["2025"]]},"page":"280-297","title":"Persepsi Masyarakat Terhadap Implementasi CSR Universitas Budi Luhur di Desa Banjar Agung Ilir, Tanggamus, Lampung","type":"article-journal","volume":"13"},"uris":["http://www.mendeley.com/documents/?uuid=74fe7e98-0edb-44b2-9f35-b41c4b09e0be"]}],"mendeley":{"formattedCitation":"(Lestari et al., 2025)","plainTextFormattedCitation":"(Lestari et al., 2025)","previouslyFormattedCitation":"(Lestari et al., 2025)"},"properties":{"noteIndex":0},"schema":"https://github.com/citation-style-language/schema/raw/master/csl-citation.json"}</w:instrText>
      </w:r>
      <w:r w:rsidR="003D50C6">
        <w:rPr>
          <w:rFonts w:cs="Times New Roman"/>
          <w:szCs w:val="24"/>
          <w:lang w:val="en-US"/>
        </w:rPr>
        <w:fldChar w:fldCharType="separate"/>
      </w:r>
      <w:r w:rsidR="0097343C" w:rsidRPr="0097343C">
        <w:rPr>
          <w:rFonts w:cs="Times New Roman"/>
          <w:noProof/>
          <w:szCs w:val="24"/>
          <w:lang w:val="en-US"/>
        </w:rPr>
        <w:t>(Lestari et al., 2025)</w:t>
      </w:r>
      <w:r w:rsidR="003D50C6">
        <w:rPr>
          <w:rFonts w:cs="Times New Roman"/>
          <w:szCs w:val="24"/>
          <w:lang w:val="en-US"/>
        </w:rPr>
        <w:fldChar w:fldCharType="end"/>
      </w:r>
      <w:r w:rsidR="003D50C6">
        <w:rPr>
          <w:rFonts w:cs="Times New Roman"/>
          <w:szCs w:val="24"/>
          <w:lang w:val="en-US"/>
        </w:rPr>
        <w:t xml:space="preserve">. </w:t>
      </w:r>
    </w:p>
    <w:p w14:paraId="0F1AEFE9" w14:textId="6CAE1ABC" w:rsidR="00091DCF" w:rsidRDefault="00091DCF" w:rsidP="00F07182">
      <w:pPr>
        <w:tabs>
          <w:tab w:val="left" w:pos="567"/>
        </w:tabs>
        <w:adjustRightInd w:val="0"/>
        <w:rPr>
          <w:rFonts w:cs="Times New Roman"/>
          <w:szCs w:val="24"/>
          <w:lang w:val="en-US"/>
        </w:rPr>
      </w:pPr>
      <w:r>
        <w:rPr>
          <w:rFonts w:cs="Times New Roman"/>
          <w:szCs w:val="24"/>
          <w:lang w:val="en-US"/>
        </w:rPr>
        <w:tab/>
      </w:r>
      <w:r w:rsidRPr="00091DCF">
        <w:rPr>
          <w:rFonts w:cs="Times New Roman"/>
          <w:szCs w:val="24"/>
        </w:rPr>
        <w:t xml:space="preserve">Salah satu instrumen pengukuran CSR yang banyak digunakan adalah dimensi </w:t>
      </w:r>
      <w:r w:rsidRPr="00091DCF">
        <w:rPr>
          <w:rFonts w:cs="Times New Roman"/>
          <w:i/>
          <w:iCs/>
          <w:szCs w:val="24"/>
        </w:rPr>
        <w:t>Social</w:t>
      </w:r>
      <w:r w:rsidRPr="00091DCF">
        <w:rPr>
          <w:rFonts w:cs="Times New Roman"/>
          <w:szCs w:val="24"/>
        </w:rPr>
        <w:t xml:space="preserve"> pada kerangka ESG, yang mencerminkan sejauh mana perusahaan mengungkapkan tanggung jawab sosialnya kepada pemangku kepentingan</w:t>
      </w:r>
      <w:r>
        <w:rPr>
          <w:rFonts w:cs="Times New Roman"/>
          <w:szCs w:val="24"/>
          <w:lang w:val="en-US"/>
        </w:rPr>
        <w:t xml:space="preserve"> </w:t>
      </w:r>
      <w:r>
        <w:rPr>
          <w:rFonts w:cs="Times New Roman"/>
          <w:szCs w:val="24"/>
        </w:rPr>
        <w:fldChar w:fldCharType="begin" w:fldLock="1"/>
      </w:r>
      <w:r>
        <w:rPr>
          <w:rFonts w:cs="Times New Roman"/>
          <w:szCs w:val="24"/>
        </w:rPr>
        <w:instrText>ADDIN CSL_CITATION {"citationItems":[{"id":"ITEM-1","itemData":{"DOI":"10.25105/jet.v2i2.14321","abstract":"This study aims to examine the effect of environmental performance, corporate governance, and corporate social responsibility on the financial performance of food &amp; beverage companies on the Indonesia Stock Exchange in 2018 – 2020. The independent variables in this study are PROPER, Audit Committee, Proportion of Independent Commissioners, Ownership Managerial, Institutional Ownership, and CSR. While the dependent variable in this study is the company's financial performance. The sampling technique was carried out using the purposive sampling method, namely the technique of determining the sample with certain considerations. Data analysis techniques include (1) Descriptive Statistics (2) Classical Assumption Test includes Normality, Multicollinearity, Heteroscedasticity, and Autocorrelation (3) Multiple Linear Regression Testing (4) F Statistical Test (5) Hypothesis Testing (6) R2 Test. The sample used in this study is food &amp; beverage companies listed on the Indonesia Stock Exchange in 2018 - 2020, with a total of 31 companies per year and there are 93 research samples that meet the criteria. The results of this study conclude that the PROPER variable affects the company's financial performance, the audit committee variable, the proportion of independent commissioners, managerial ownership, institutional ownership affects the company's financial performance, and CSR has an effect on the company's financial performance. Tujuan penelitian guna menguji pengaruh environmental performance, corporate governance, dan corporate social responsibility terhadap kinerja keuangan perusahaan food &amp; beverage di Bursa Efek Indonesia pada tahun 2018 – 2020. PROPER, Komite Audit, Kepemilikan Manajerial, Proporsi Dewan Komisaris Independen, Kepemilikan Institusional, dan CSR dijadikan variabel bebas penelitian ini. Sementara kinerja keuangan perusahaan dijadikan variabel terikat penelitian ini. Metode purposive sampling dijadikan sebagai teknik sampling yakni dengan mengacu suatu pertimbangan khusus. Data dianalisis melalui teknik (1) Statistik Deskriptif (2) Uji Asumsi Klasik (3) Analisis Regresi Linear Berganda (4) Uji Hipotesis (5) Uji Statistik F (6) Uji R2. Sejumlah 31 perusahaan food &amp; beverage yang terdaftar di Bursa Efek Indonesia tahun 2018 – 2020 dijadikan sampel penelitian ini serta serta sampel yang sesuai kriteria didapatkan sejumlah 93. Penelitian menghasilkan yaitu variabel PROPER berpengaruh terhadap kinerja keuangan perusahaan, variabel komite audit, prop…","author":[{"dropping-particle":"","family":"Solihah","given":"Ai Pupung","non-dropping-particle":"","parse-names":false,"suffix":""},{"dropping-particle":"","family":"Fadilah","given":"Sri","non-dropping-particle":"","parse-names":false,"suffix":""}],"container-title":"Jurnal Ekonomi Trisakti","id":"ITEM-1","issue":"2","issued":{"date-parts":[["2022"]]},"page":"475-486","title":"Pengaruh Environmental Performance, Corporate Governance, Dan Corporate Social Responsibility Terhadap Kinerja Keuangan","type":"article-journal","volume":"2"},"uris":["http://www.mendeley.com/documents/?uuid=72aede2d-bf2e-48ec-8e80-290ba1d6fc4d"]},{"id":"ITEM-2","itemData":{"ISSN":"2655-2493","abstract":"The purpose of this research was analyzing the application of Supply Chain Management in the perspective of Islamic business ethics. Islamic business ethics is related to the implementation of Supply Chain Management in related companies, from the purchasing process of production, retail distribution to consumption by the public. There needs to be a concept of applying Islamic business ethics as a basis for doing business. Business ethics are sometimes ignored by business people. By applying business ethics, a businessman can understand even very difficult business competition, how to maintain good manners, be friendly, how to dress properly and how to speak words to deal with customers, all of which has meaning. business people do everything they can to get high profits, even business people often ignore the ethics that must be considered in running a business. The method used in this research was qualitative research by using the document analysis. The results of this article on the application of Supply Chain Management in the perspective of Islamic business ethics were that every company when conducting its business must have elements of unity, justice, free will, responsibility and virtue.","author":[{"dropping-particle":"","family":"Antika","given":"Riani Dwi","non-dropping-particle":"","parse-names":false,"suffix":""},{"dropping-particle":"","family":"Arini","given":"Wiska Dwi","non-dropping-particle":"","parse-names":false,"suffix":""},{"dropping-particle":"","family":"Arini","given":"Syifa Yuniatin","non-dropping-particle":"","parse-names":false,"suffix":""},{"dropping-particle":"","family":"Aulia","given":"Zulfaturrokhmah","non-dropping-particle":"","parse-names":false,"suffix":""},{"dropping-particle":"","family":"Rahmatika","given":"Dien Noviany","non-dropping-particle":"","parse-names":false,"suffix":""}],"container-title":"Journal of Sharia Economics","id":"ITEM-2","issue":"1","issued":{"date-parts":[["2025"]]},"page":"18-39","title":"Journal of Sharia Economics","type":"article-journal","volume":"3"},"uris":["http://www.mendeley.com/documents/?uuid=6e32f73d-72ef-4ab5-8c0f-5274ee0bd712"]}],"mendeley":{"formattedCitation":"(Antika et al., 2025; Solihah &amp; Fadilah, 2022)","plainTextFormattedCitation":"(Antika et al., 2025; Solihah &amp; Fadilah, 2022)","previouslyFormattedCitation":"(Antika et al., 2025; Solihah &amp; Fadilah, 2022)"},"properties":{"noteIndex":0},"schema":"https://github.com/citation-style-language/schema/raw/master/csl-citation.json"}</w:instrText>
      </w:r>
      <w:r>
        <w:rPr>
          <w:rFonts w:cs="Times New Roman"/>
          <w:szCs w:val="24"/>
        </w:rPr>
        <w:fldChar w:fldCharType="separate"/>
      </w:r>
      <w:r w:rsidRPr="00091DCF">
        <w:rPr>
          <w:rFonts w:cs="Times New Roman"/>
          <w:noProof/>
          <w:szCs w:val="24"/>
        </w:rPr>
        <w:t>(Antika et al., 2025; Solihah &amp; Fadilah, 2022)</w:t>
      </w:r>
      <w:r>
        <w:rPr>
          <w:rFonts w:cs="Times New Roman"/>
          <w:szCs w:val="24"/>
        </w:rPr>
        <w:fldChar w:fldCharType="end"/>
      </w:r>
      <w:r>
        <w:rPr>
          <w:rFonts w:cs="Times New Roman"/>
          <w:szCs w:val="24"/>
          <w:lang w:val="en-US"/>
        </w:rPr>
        <w:t xml:space="preserve">. </w:t>
      </w:r>
      <w:r w:rsidRPr="00091DCF">
        <w:rPr>
          <w:rFonts w:cs="Times New Roman"/>
          <w:szCs w:val="24"/>
        </w:rPr>
        <w:t>Pengungkapan yang kredibel pada dimensi ini menjadikan CSR bukan sekadar kepatuhan formal, melainkan kebutuhan strategis untuk membangun kepercayaan pasa</w:t>
      </w:r>
      <w:r>
        <w:rPr>
          <w:rFonts w:cs="Times New Roman"/>
          <w:szCs w:val="24"/>
          <w:lang w:val="en-US"/>
        </w:rPr>
        <w:t xml:space="preserve">r </w:t>
      </w:r>
      <w:r>
        <w:rPr>
          <w:rFonts w:cs="Times New Roman"/>
          <w:szCs w:val="24"/>
          <w:lang w:val="en-US"/>
        </w:rPr>
        <w:fldChar w:fldCharType="begin" w:fldLock="1"/>
      </w:r>
      <w:r w:rsidR="00D80050">
        <w:rPr>
          <w:rFonts w:cs="Times New Roman"/>
          <w:szCs w:val="24"/>
          <w:lang w:val="en-US"/>
        </w:rPr>
        <w:instrText>ADDIN CSL_CITATION {"citationItems":[{"id":"ITEM-1","itemData":{"author":[{"dropping-particle":"","family":"Putri","given":"Dina Amalya","non-dropping-particle":"","parse-names":false,"suffix":""},{"dropping-particle":"","family":"Pahrijal","given":"Rival","non-dropping-particle":"","parse-names":false,"suffix":""},{"dropping-particle":"","family":"Arini","given":"Rani Eka","non-dropping-particle":"","parse-names":false,"suffix":""}],"id":"ITEM-1","issue":"02","issued":{"date-parts":[["2026"]]},"page":"227-236","title":"Analisis Kredibilitas ESG dan Pengungkapan Sustainability Report terhadap Nilai Perusahaan Sektor Energi di Indonesia","type":"article-journal","volume":"5"},"uris":["http://www.mendeley.com/documents/?uuid=c9e50293-faac-48eb-abba-7252b7931bff"]},{"id":"ITEM-2","itemData":{"DOI":"10.1016/j.jcorpfin.2021.101889","ISSN":"09291199","abstract":"We review the financial economics-based research on Environmental, Social, and Governance (ESG) and Corporate Social Responsibility (CSR) with an emphasis on corporate finance. In doing so we focus on the most debated and researched issues. Although a firm's ESG/CSR profile and activities are shown to be strongly related to the firm's market, leadership and owner characteristics as well its risk, performance and value, there still exist conflicting hypotheses and results that we show are not resolved, leading to continued questions and a need for more research.","author":[{"dropping-particle":"","family":"Gillan","given":"Stuart L.","non-dropping-particle":"","parse-names":false,"suffix":""},{"dropping-particle":"","family":"Koch","given":"Andrew","non-dropping-particle":"","parse-names":false,"suffix":""},{"dropping-particle":"","family":"Starks","given":"Laura T.","non-dropping-particle":"","parse-names":false,"suffix":""}],"container-title":"Journal of Corporate Finance","id":"ITEM-2","issue":"September 2019","issued":{"date-parts":[["2021"]]},"page":"101889","publisher":"Elsevier B.V.","title":"Firms and social responsibility: A review of ESG and CSR research in corporate finance","type":"article-journal","volume":"66"},"uris":["http://www.mendeley.com/documents/?uuid=b844ff48-2a6f-4a30-b941-1bf0ccb92375"]}],"mendeley":{"formattedCitation":"(Gillan et al., 2021; Putri et al., 2026)","plainTextFormattedCitation":"(Gillan et al., 2021; Putri et al., 2026)","previouslyFormattedCitation":"(Gillan et al., 2021; Putri et al., 2026)"},"properties":{"noteIndex":0},"schema":"https://github.com/citation-style-language/schema/raw/master/csl-citation.json"}</w:instrText>
      </w:r>
      <w:r>
        <w:rPr>
          <w:rFonts w:cs="Times New Roman"/>
          <w:szCs w:val="24"/>
          <w:lang w:val="en-US"/>
        </w:rPr>
        <w:fldChar w:fldCharType="separate"/>
      </w:r>
      <w:r w:rsidRPr="00091DCF">
        <w:rPr>
          <w:rFonts w:cs="Times New Roman"/>
          <w:noProof/>
          <w:szCs w:val="24"/>
          <w:lang w:val="en-US"/>
        </w:rPr>
        <w:t>(Gillan et al., 2021; Putri et al., 2026)</w:t>
      </w:r>
      <w:r>
        <w:rPr>
          <w:rFonts w:cs="Times New Roman"/>
          <w:szCs w:val="24"/>
          <w:lang w:val="en-US"/>
        </w:rPr>
        <w:fldChar w:fldCharType="end"/>
      </w:r>
      <w:r>
        <w:rPr>
          <w:rFonts w:cs="Times New Roman"/>
          <w:szCs w:val="24"/>
          <w:lang w:val="en-US"/>
        </w:rPr>
        <w:t>.</w:t>
      </w:r>
    </w:p>
    <w:p w14:paraId="74BE5408" w14:textId="3E30393A" w:rsidR="00091DCF" w:rsidRDefault="00091DCF" w:rsidP="00F07182">
      <w:pPr>
        <w:tabs>
          <w:tab w:val="left" w:pos="567"/>
        </w:tabs>
        <w:adjustRightInd w:val="0"/>
        <w:rPr>
          <w:lang w:val="en-US"/>
        </w:rPr>
      </w:pPr>
      <w:r>
        <w:rPr>
          <w:rFonts w:cs="Times New Roman"/>
          <w:szCs w:val="24"/>
          <w:lang w:val="en-US"/>
        </w:rPr>
        <w:tab/>
      </w:r>
      <w:r w:rsidRPr="00091DCF">
        <w:rPr>
          <w:rFonts w:cs="Times New Roman"/>
          <w:szCs w:val="24"/>
        </w:rPr>
        <w:t xml:space="preserve">Di Indonesia, kewajiban tanggung jawab sosial diatur melalui UU No. 40 Tahun 2007 tentang Perseroan Terbatas dan diperkuat oleh POJK No. 51/POJK.03/2017 mengenai pelaporan keberlanjutan bagi lembaga jasa keuangan dan perusahaan publik. Sektor manufaktur, sebagai penyumbang PDB dan tenaga </w:t>
      </w:r>
      <w:r w:rsidRPr="00091DCF">
        <w:rPr>
          <w:rFonts w:cs="Times New Roman"/>
          <w:szCs w:val="24"/>
        </w:rPr>
        <w:lastRenderedPageBreak/>
        <w:t xml:space="preserve">kerja terbesar sekaligus sektor padat sumber daya </w:t>
      </w:r>
      <w:r w:rsidR="00D80050">
        <w:rPr>
          <w:rFonts w:cs="Times New Roman"/>
          <w:szCs w:val="24"/>
        </w:rPr>
        <w:fldChar w:fldCharType="begin" w:fldLock="1"/>
      </w:r>
      <w:r w:rsidR="00D80050">
        <w:rPr>
          <w:rFonts w:cs="Times New Roman"/>
          <w:szCs w:val="24"/>
        </w:rPr>
        <w:instrText>ADDIN CSL_CITATION {"citationItems":[{"id":"ITEM-1","itemData":{"author":[{"dropping-particle":"","family":"Harahap","given":"Lokot Muda","non-dropping-particle":"","parse-names":false,"suffix":""},{"dropping-particle":"","family":"Sianturi","given":"Patricia Wanda","non-dropping-particle":"","parse-names":false,"suffix":""},{"dropping-particle":"","family":"Fauziah","given":"Siti","non-dropping-particle":"","parse-names":false,"suffix":""}],"id":"ITEM-1","issued":{"date-parts":[["2026"]]},"page":"16-29","title":"Analisis Kontribusi Industri Manufaktur terhadap Produk Domestik Bruto ( PDB ) Indonesia Tahun 2020-2024","type":"article-journal"},"uris":["http://www.mendeley.com/documents/?uuid=f62952af-ecc3-499e-ae00-fa384b7e6dab"]}],"mendeley":{"formattedCitation":"(Harahap et al., 2026)","plainTextFormattedCitation":"(Harahap et al., 2026)","previouslyFormattedCitation":"(Harahap et al., 2026)"},"properties":{"noteIndex":0},"schema":"https://github.com/citation-style-language/schema/raw/master/csl-citation.json"}</w:instrText>
      </w:r>
      <w:r w:rsidR="00D80050">
        <w:rPr>
          <w:rFonts w:cs="Times New Roman"/>
          <w:szCs w:val="24"/>
        </w:rPr>
        <w:fldChar w:fldCharType="separate"/>
      </w:r>
      <w:r w:rsidR="00D80050" w:rsidRPr="00D80050">
        <w:rPr>
          <w:rFonts w:cs="Times New Roman"/>
          <w:noProof/>
          <w:szCs w:val="24"/>
        </w:rPr>
        <w:t>(Harahap et al., 2026)</w:t>
      </w:r>
      <w:r w:rsidR="00D80050">
        <w:rPr>
          <w:rFonts w:cs="Times New Roman"/>
          <w:szCs w:val="24"/>
        </w:rPr>
        <w:fldChar w:fldCharType="end"/>
      </w:r>
      <w:r w:rsidRPr="00091DCF">
        <w:rPr>
          <w:rFonts w:cs="Times New Roman"/>
          <w:szCs w:val="24"/>
        </w:rPr>
        <w:t>, menghadapi sorotan tinggi atas dampak sosial-lingkungan dari aktivitas produksinya</w:t>
      </w:r>
      <w:r w:rsidR="00D80050">
        <w:rPr>
          <w:rFonts w:cs="Times New Roman"/>
          <w:szCs w:val="24"/>
          <w:lang w:val="en-US"/>
        </w:rPr>
        <w:t xml:space="preserve"> </w:t>
      </w:r>
      <w:r w:rsidR="00D80050">
        <w:rPr>
          <w:rFonts w:cs="Times New Roman"/>
          <w:szCs w:val="24"/>
          <w:lang w:val="en-US"/>
        </w:rPr>
        <w:fldChar w:fldCharType="begin" w:fldLock="1"/>
      </w:r>
      <w:r w:rsidR="00D80050">
        <w:rPr>
          <w:rFonts w:cs="Times New Roman"/>
          <w:szCs w:val="24"/>
          <w:lang w:val="en-US"/>
        </w:rPr>
        <w:instrText>ADDIN CSL_CITATION {"citationItems":[{"id":"ITEM-1","itemData":{"DOI":"10.56211/factory.v4i2.1412","abstract":"UD Hidayah Abadi merupakan usaha kecil menengah (UKM) yang bergerak di bidang produksi tas dan menghadapi tantangan berupa tidak tercapainya target produksi serta tingginya volume limbah produksi. Limbah utama yang dihasilkan berupa kain perca, sisa benang, dan oli bekas mesin yang berpotensi mencemari lingkungan. Penelitian ini bertujuan untuk mengidentifikasi aktivitas penyebab pemborosan (waste), mengukur efisiensi proses produksi berdasarkan nilai tambah, serta mengevaluasi dampak lingkungan yang ditimbulkan dari limbah tersebut. Pendekatan Green Lean Manufacturing digunakan dengan metode Value Stream Mapping (VSM), Process Activity Mapping (PAM), serta simulasi Life Cycle Assessment (LCA) menggunakan metode ReCiPe. Hasil penelitian menunjukkan bahwa total waktu siklus produksi berhasil dikurangi dari 231,52 menit menjadi 195,82 menit, menghasilkan efisiensi sebesar 15,43%. Evaluasi dampak lingkungan menunjukkan bahwa kain denim mendominasi dengan emisi 748.8 kg CO₂-eq, hampir 1.5 kali lipat lebih tinggi dibandingkan kain kanvas yang menghasilkan 520.5 kg CO₂-eq. Kain parasut dan furing polyester menghasilkan emisi masing-masing 143.0 kg CO₂-eq dan 103.8 kg CO₂-eq. Keempat material tekstil ini secara kolektif menyumbang lebih dari 95% total emisi gas rumah kaca dari seluruh bahan yang dianalisis. Usulan perbaikan disusun menggunakan pendekatan kaizen, dengan fokus pada faktor manusia, mesin, material, metode, dan lingkungan untuk mendukung efisiensi dan keberlanjutan proses produksi.","author":[{"dropping-particle":"","family":"Hendrawan","given":"Marcel Albert","non-dropping-particle":"","parse-names":false,"suffix":""},{"dropping-particle":"","family":"Munang","given":"Aswan","non-dropping-particle":"","parse-names":false,"suffix":""},{"dropping-particle":"","family":"Aliyah","given":"Khikmatul","non-dropping-particle":"","parse-names":false,"suffix":""}],"container-title":"Factory Jurnal Industri, Manajemen dan Rekayasa Sistem Industri","id":"ITEM-1","issue":"2","issued":{"date-parts":[["2026"]]},"page":"233-245","title":"Analisis Green Lean Manufacturing untuk Reduksi Waste dan Dampak Lingkungan pada Proses Pembuatan Tas","type":"article-journal","volume":"4"},"uris":["http://www.mendeley.com/documents/?uuid=d057d6a7-4161-4566-8937-dedfcd877a53"]},{"id":"ITEM-2","itemData":{"DOI":"10.56910/gemilang.v5i3.2189","ISSN":"2962-4428","abstract":"The rising levels of greenhouse gas emissions, environmental crises, and social conflicts in the energy and mining sectors underscore the urgency of adopting sustainability principles through environmental, social, and governance (ESG) disclosures. This study aims to examine the relationship between the intensity of ESG disclosure and corporate performance, as measured by the Return On Assets (ROA). A quantitative approach was employed using secondary data obtained from annual and sustainability reports of 37 energy and mining companies listed on the Indonesia Stock Exchange during the 2021–2023 period. The sample was selected through purposive sampling based on the completeness of ESG reporting in accordance with GRI standards. Data analysis was conducted using multiple linear regression with the assistance of SPSS version 25. The findings reveal that environmental and social disclosures are associated with corporate performance, while governance disclosure does not show a significant relationship. These results highlight the need to strengthen the substance and implementation of sustainability-oriented governance practices. This study recommends ongoing evaluation of ESG reporting practices and the adoption of more comprehensive measurement indicators to enhance overall corporate performance.","author":[{"dropping-particle":"","family":"Fitria","given":"Annisa Nur","non-dropping-particle":"","parse-names":false,"suffix":""},{"dropping-particle":"","family":"Mariana","given":"","non-dropping-particle":"","parse-names":false,"suffix":""}],"container-title":"GEMILANG: Jurnal Manajemen dan Akuntansi","id":"ITEM-2","issue":"3","issued":{"date-parts":[["2025"]]},"page":"190-205","title":"Pengaruh Pengungkapan Environmental, Social, dan Governance (ESG) Terhadap Kinerja Perusahaan Energi dan Pertambangan","type":"article-journal","volume":"5"},"uris":["http://www.mendeley.com/documents/?uuid=5b575a9a-67aa-4b31-96a7-5c157108e425"]}],"mendeley":{"formattedCitation":"(Fitria &amp; Mariana, 2025; Hendrawan et al., 2026)","plainTextFormattedCitation":"(Fitria &amp; Mariana, 2025; Hendrawan et al., 2026)","previouslyFormattedCitation":"(Fitria &amp; Mariana, 2025; Hendrawan et al., 2026)"},"properties":{"noteIndex":0},"schema":"https://github.com/citation-style-language/schema/raw/master/csl-citation.json"}</w:instrText>
      </w:r>
      <w:r w:rsidR="00D80050">
        <w:rPr>
          <w:rFonts w:cs="Times New Roman"/>
          <w:szCs w:val="24"/>
          <w:lang w:val="en-US"/>
        </w:rPr>
        <w:fldChar w:fldCharType="separate"/>
      </w:r>
      <w:r w:rsidR="00D80050" w:rsidRPr="00D80050">
        <w:rPr>
          <w:rFonts w:cs="Times New Roman"/>
          <w:noProof/>
          <w:szCs w:val="24"/>
          <w:lang w:val="en-US"/>
        </w:rPr>
        <w:t>(Fitria &amp; Mariana, 2025; Hendrawan et al., 2026)</w:t>
      </w:r>
      <w:r w:rsidR="00D80050">
        <w:rPr>
          <w:rFonts w:cs="Times New Roman"/>
          <w:szCs w:val="24"/>
          <w:lang w:val="en-US"/>
        </w:rPr>
        <w:fldChar w:fldCharType="end"/>
      </w:r>
      <w:r w:rsidR="00D80050">
        <w:rPr>
          <w:lang w:val="en-US"/>
        </w:rPr>
        <w:t xml:space="preserve">. </w:t>
      </w:r>
      <w:r w:rsidR="00D80050" w:rsidRPr="00D80050">
        <w:t>Data PROPER 2021–2022 menunjukkan dari 3.200 perusahaan peserta, 887 memperoleh peringkat merah dan 59 dikenai penegakan hukum akibat ketidaktaatan lingkungan</w:t>
      </w:r>
      <w:r w:rsidR="00D80050">
        <w:rPr>
          <w:lang w:val="en-US"/>
        </w:rPr>
        <w:t xml:space="preserve"> </w:t>
      </w:r>
      <w:r w:rsidR="00D80050">
        <w:rPr>
          <w:lang w:val="en-US"/>
        </w:rPr>
        <w:fldChar w:fldCharType="begin" w:fldLock="1"/>
      </w:r>
      <w:r w:rsidR="00D80050">
        <w:rPr>
          <w:lang w:val="en-US"/>
        </w:rPr>
        <w:instrText>ADDIN CSL_CITATION {"citationItems":[{"id":"ITEM-1","itemData":{"author":[{"dropping-particle":"","family":"Rahman","given":"Faisol","non-dropping-particle":"","parse-names":false,"suffix":""}],"container-title":"Pusat Studi Lingkungan Hidup UGM","id":"ITEM-1","issued":{"date-parts":[["2022"]]},"title":"Penghargaan Proper 2021-2022, Sebanyak 889 Perusahaan Tidak Taat Aturan Lingkungan","type":"article-journal"},"uris":["http://www.mendeley.com/documents/?uuid=fc7bba28-beac-4d0b-aac2-5dee83a0d910"]}],"mendeley":{"formattedCitation":"(Rahman, 2022)","plainTextFormattedCitation":"(Rahman, 2022)","previouslyFormattedCitation":"(Rahman, 2022)"},"properties":{"noteIndex":0},"schema":"https://github.com/citation-style-language/schema/raw/master/csl-citation.json"}</w:instrText>
      </w:r>
      <w:r w:rsidR="00D80050">
        <w:rPr>
          <w:lang w:val="en-US"/>
        </w:rPr>
        <w:fldChar w:fldCharType="separate"/>
      </w:r>
      <w:r w:rsidR="00D80050" w:rsidRPr="00D80050">
        <w:rPr>
          <w:noProof/>
          <w:lang w:val="en-US"/>
        </w:rPr>
        <w:t>(Rahman, 2022)</w:t>
      </w:r>
      <w:r w:rsidR="00D80050">
        <w:rPr>
          <w:lang w:val="en-US"/>
        </w:rPr>
        <w:fldChar w:fldCharType="end"/>
      </w:r>
      <w:r w:rsidR="00D80050" w:rsidRPr="00D80050">
        <w:t>, sementara skor pengungkapan CSR antarperusahaan di BEI masih bervariasi lebar, berkisar 9–82 pada periode 2020–2022</w:t>
      </w:r>
      <w:r w:rsidR="00D80050">
        <w:rPr>
          <w:lang w:val="en-US"/>
        </w:rPr>
        <w:t xml:space="preserve"> </w:t>
      </w:r>
      <w:r w:rsidR="00D80050">
        <w:rPr>
          <w:lang w:val="en-US"/>
        </w:rPr>
        <w:fldChar w:fldCharType="begin" w:fldLock="1"/>
      </w:r>
      <w:r w:rsidR="00D80050">
        <w:rPr>
          <w:lang w:val="en-US"/>
        </w:rPr>
        <w:instrText>ADDIN CSL_CITATION {"citationItems":[{"id":"ITEM-1","itemData":{"DOI":"10.55606/jebaku.v5i1.5475","ISSN":"2827-8364","abstract":"The implementation of corporate social responsibility (CSR) is not uniform in every industrial sector. The characteristics, challenges and expectations of stakeholders from each sector lead to different CSR approaches. This study aims to identify differences in CSR disclosure patterns between these sectors, and to assess whether these sectors tend to be more open in reporting their social responsibilities. This study uses a descriptive quantitative design by collecting secondary data in the form of annual reports of companies listed on the Indonesia Stock Exchange in 2020-2022. The sample consisted of 56 companies from various industrial sectors. The results showed that the energy and coal, consumer, property and construction sectors tended to focus more on CSR programs in environmental aspects and social. On the other hand, companies in the financial, health, technology, media and telecommunications sectors focused more on CSR programs in social and community aspects. The implications of this study are to add to the empirical literature on CSR practices in Indonesia, especially related to sectoral variations. This broadens the understanding of how certain industrial sectors tend to be more or less transparent in disclosing CSR activities. In addition, this study provides insight into corporate social responsibility and analysis for investors to invest in companies that carry out sustainability activities.","author":[{"dropping-particle":"","family":"Cahyani","given":"Arie","non-dropping-particle":"","parse-names":false,"suffix":""},{"dropping-particle":"","family":"Lestari","given":"Ayu Ambang","non-dropping-particle":"","parse-names":false,"suffix":""}],"container-title":"Jurnal Ekonomi Bisnis dan Akuntansi","id":"ITEM-1","issue":"1","issued":{"date-parts":[["2025"]]},"page":"605-615","title":"Studi Komparasi: Implementasi Corporate Social Responsibility pada Berbagai Sektor Industri yang Tercatat di Bursa Efek Indonesia","type":"article-journal","volume":"5"},"uris":["http://www.mendeley.com/documents/?uuid=3e7484fb-4f75-45b2-ab2b-4aec054c513d"]},{"id":"ITEM-2","itemData":{"DOI":"10.1016/j.jcorpfin.2021.101889","ISSN":"09291199","abstract":"We review the financial economics-based research on Environmental, Social, and Governance (ESG) and Corporate Social Responsibility (CSR) with an emphasis on corporate finance. In doing so we focus on the most debated and researched issues. Although a firm's ESG/CSR profile and activities are shown to be strongly related to the firm's market, leadership and owner characteristics as well its risk, performance and value, there still exist conflicting hypotheses and results that we show are not resolved, leading to continued questions and a need for more research.","author":[{"dropping-particle":"","family":"Gillan","given":"Stuart L.","non-dropping-particle":"","parse-names":false,"suffix":""},{"dropping-particle":"","family":"Koch","given":"Andrew","non-dropping-particle":"","parse-names":false,"suffix":""},{"dropping-particle":"","family":"Starks","given":"Laura T.","non-dropping-particle":"","parse-names":false,"suffix":""}],"container-title":"Journal of Corporate Finance","id":"ITEM-2","issue":"September 2019","issued":{"date-parts":[["2021"]]},"page":"101889","publisher":"Elsevier B.V.","title":"Firms and social responsibility: A review of ESG and CSR research in corporate finance","type":"article-journal","volume":"66"},"uris":["http://www.mendeley.com/documents/?uuid=b844ff48-2a6f-4a30-b941-1bf0ccb92375"]}],"mendeley":{"formattedCitation":"(Cahyani &amp; Lestari, 2025; Gillan et al., 2021)","plainTextFormattedCitation":"(Cahyani &amp; Lestari, 2025; Gillan et al., 2021)","previouslyFormattedCitation":"(Cahyani &amp; Lestari, 2025; Gillan et al., 2021)"},"properties":{"noteIndex":0},"schema":"https://github.com/citation-style-language/schema/raw/master/csl-citation.json"}</w:instrText>
      </w:r>
      <w:r w:rsidR="00D80050">
        <w:rPr>
          <w:lang w:val="en-US"/>
        </w:rPr>
        <w:fldChar w:fldCharType="separate"/>
      </w:r>
      <w:r w:rsidR="00D80050" w:rsidRPr="00D80050">
        <w:rPr>
          <w:noProof/>
          <w:lang w:val="en-US"/>
        </w:rPr>
        <w:t>(Cahyani &amp; Lestari, 2025; Gillan et al., 2021)</w:t>
      </w:r>
      <w:r w:rsidR="00D80050">
        <w:rPr>
          <w:lang w:val="en-US"/>
        </w:rPr>
        <w:fldChar w:fldCharType="end"/>
      </w:r>
      <w:r w:rsidR="00D80050">
        <w:rPr>
          <w:lang w:val="en-US"/>
        </w:rPr>
        <w:t>.</w:t>
      </w:r>
    </w:p>
    <w:p w14:paraId="41AE8C6A" w14:textId="18862890" w:rsidR="00D80050" w:rsidRDefault="00D80050" w:rsidP="00F07182">
      <w:pPr>
        <w:tabs>
          <w:tab w:val="left" w:pos="567"/>
        </w:tabs>
        <w:adjustRightInd w:val="0"/>
      </w:pPr>
      <w:r>
        <w:rPr>
          <w:lang w:val="en-US"/>
        </w:rPr>
        <w:tab/>
      </w:r>
      <w:r w:rsidRPr="00D80050">
        <w:t xml:space="preserve">Variasi tersebut dapat dijelaskan melalui </w:t>
      </w:r>
      <w:r w:rsidRPr="00D80050">
        <w:rPr>
          <w:i/>
          <w:iCs/>
        </w:rPr>
        <w:t>Agency Theory</w:t>
      </w:r>
      <w:r w:rsidRPr="00D80050">
        <w:t xml:space="preserve"> </w:t>
      </w:r>
      <w:r>
        <w:fldChar w:fldCharType="begin" w:fldLock="1"/>
      </w:r>
      <w: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fldChar w:fldCharType="separate"/>
      </w:r>
      <w:r w:rsidRPr="00D80050">
        <w:rPr>
          <w:noProof/>
        </w:rPr>
        <w:t>(Jensen &amp; Meckling, 1976)</w:t>
      </w:r>
      <w:r>
        <w:fldChar w:fldCharType="end"/>
      </w:r>
      <w:r w:rsidRPr="00D80050">
        <w:t>, yang menyoroti perbedaan kepentingan antara manajemen dan pemegang saham dalam pengalokasian sumber daya untuk CSR. Struktur kepemilikan diyakini menjadi mekanisme pengawasan yang dapat menyelaraskan kepentingan tersebut</w:t>
      </w:r>
      <w:r>
        <w:rPr>
          <w:lang w:val="en-US"/>
        </w:rPr>
        <w:t xml:space="preserve"> </w:t>
      </w:r>
      <w:r>
        <w:rPr>
          <w:lang w:val="en-US"/>
        </w:rPr>
        <w:fldChar w:fldCharType="begin" w:fldLock="1"/>
      </w:r>
      <w:r>
        <w:rPr>
          <w:lang w:val="en-US"/>
        </w:rPr>
        <w:instrText>ADDIN CSL_CITATION {"citationItems":[{"id":"ITEM-1","itemData":{"author":[{"dropping-particle":"","family":"Aulia","given":"Nurul","non-dropping-particle":"","parse-names":false,"suffix":""},{"dropping-particle":"","family":"Hikmat","given":"Asep","non-dropping-particle":"","parse-names":false,"suffix":""},{"dropping-particle":"","family":"Nur","given":"Tuah","non-dropping-particle":"","parse-names":false,"suffix":""},{"dropping-particle":"","family":"Saleh","given":"Munandi","non-dropping-particle":"","parse-names":false,"suffix":""}],"id":"ITEM-1","issued":{"date-parts":[["2026"]]},"page":"64-76","title":"PENGARUH KEPEMILIKAN INSTITUSIONAL, KEPEMILIKAN MANAJERIAL, DAN KOMITE AUDIT TERHADAP NILAI PERUSAHAAN BANK BUMN PERIODE 2021-2024","type":"article-journal","volume":"8"},"uris":["http://www.mendeley.com/documents/?uuid=53e9780c-a424-4933-bc11-eb650ce8157c"]}],"mendeley":{"formattedCitation":"(Aulia et al., 2026)","plainTextFormattedCitation":"(Aulia et al., 2026)","previouslyFormattedCitation":"(Aulia et al., 2026)"},"properties":{"noteIndex":0},"schema":"https://github.com/citation-style-language/schema/raw/master/csl-citation.json"}</w:instrText>
      </w:r>
      <w:r>
        <w:rPr>
          <w:lang w:val="en-US"/>
        </w:rPr>
        <w:fldChar w:fldCharType="separate"/>
      </w:r>
      <w:r w:rsidRPr="00D80050">
        <w:rPr>
          <w:noProof/>
          <w:lang w:val="en-US"/>
        </w:rPr>
        <w:t>(Aulia et al., 2026)</w:t>
      </w:r>
      <w:r>
        <w:rPr>
          <w:lang w:val="en-US"/>
        </w:rPr>
        <w:fldChar w:fldCharType="end"/>
      </w:r>
      <w:r w:rsidRPr="00D80050">
        <w:t>. Kepemilikan manajerial berpotensi mendorong manajemen memperhatikan keberlanjutan perusahaan</w:t>
      </w:r>
      <w:r>
        <w:rPr>
          <w:lang w:val="en-US"/>
        </w:rPr>
        <w:t xml:space="preserve"> </w:t>
      </w:r>
      <w:r>
        <w:rPr>
          <w:lang w:val="en-US"/>
        </w:rPr>
        <w:fldChar w:fldCharType="begin" w:fldLock="1"/>
      </w:r>
      <w:r>
        <w:rPr>
          <w:lang w:val="en-US"/>
        </w:rPr>
        <w:instrText>ADDIN CSL_CITATION {"citationItems":[{"id":"ITEM-1","itemData":{"abstract":"… Kepemilikan manajerial merupakan kepemilikan saham yang dimiliki oleh … kepemilikan manajerial terhadap manajemen laba. Hasil ini membuktikan bahwa kepemilikan manajerial …","author":[{"dropping-particle":"","family":"Danendratama","given":"Daffa","non-dropping-particle":"","parse-names":false,"suffix":""},{"dropping-particle":"","family":"Dharma","given":"Amdi Very","non-dropping-particle":"","parse-names":false,"suffix":""}],"container-title":"Jurnal Akuntansi &amp; …","id":"ITEM-1","issue":"2","issued":{"date-parts":[["2026"]]},"page":"758-768","title":"Pengaruh Kepemilikan Institusional, Kepemilikan Manajerial, Jumlah Dewan Direksi, Proporsi Dewan Komisaris Independen …","type":"article-journal","volume":"6"},"uris":["http://www.mendeley.com/documents/?uuid=f940acd7-58b2-427f-bc22-ddb655cb0d56"]}],"mendeley":{"formattedCitation":"(Danendratama &amp; Dharma, 2026)","plainTextFormattedCitation":"(Danendratama &amp; Dharma, 2026)","previouslyFormattedCitation":"(Danendratama &amp; Dharma, 2026)"},"properties":{"noteIndex":0},"schema":"https://github.com/citation-style-language/schema/raw/master/csl-citation.json"}</w:instrText>
      </w:r>
      <w:r>
        <w:rPr>
          <w:lang w:val="en-US"/>
        </w:rPr>
        <w:fldChar w:fldCharType="separate"/>
      </w:r>
      <w:r w:rsidRPr="00D80050">
        <w:rPr>
          <w:noProof/>
          <w:lang w:val="en-US"/>
        </w:rPr>
        <w:t>(Danendratama &amp; Dharma, 2026)</w:t>
      </w:r>
      <w:r>
        <w:rPr>
          <w:lang w:val="en-US"/>
        </w:rPr>
        <w:fldChar w:fldCharType="end"/>
      </w:r>
      <w:r w:rsidRPr="00D80050">
        <w:t xml:space="preserve">, meski penelitian terdahulu menunjukkan hasil beragam, termasuk potensi efek </w:t>
      </w:r>
      <w:r w:rsidRPr="00D80050">
        <w:rPr>
          <w:i/>
          <w:iCs/>
        </w:rPr>
        <w:t>entrenchment</w:t>
      </w:r>
      <w:r w:rsidRPr="00D80050">
        <w:t xml:space="preserve"> pada kepemilikan yang terlalu besar</w:t>
      </w:r>
      <w:r>
        <w:rPr>
          <w:lang w:val="en-US"/>
        </w:rPr>
        <w:t xml:space="preserve"> </w:t>
      </w:r>
      <w:r>
        <w:rPr>
          <w:lang w:val="en-US"/>
        </w:rPr>
        <w:fldChar w:fldCharType="begin" w:fldLock="1"/>
      </w:r>
      <w:r>
        <w:rPr>
          <w:lang w:val="en-US"/>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performance","type":"article-journal","volume":"16"},"uris":["http://www.mendeley.com/documents/?uuid=4a09875d-05aa-4f50-a82b-9cff58ec886a"]}],"mendeley":{"formattedCitation":"(Dakhli, 2021)","plainTextFormattedCitation":"(Dakhli, 2021)","previouslyFormattedCitation":"(Dakhli, 2021)"},"properties":{"noteIndex":0},"schema":"https://github.com/citation-style-language/schema/raw/master/csl-citation.json"}</w:instrText>
      </w:r>
      <w:r>
        <w:rPr>
          <w:lang w:val="en-US"/>
        </w:rPr>
        <w:fldChar w:fldCharType="separate"/>
      </w:r>
      <w:r w:rsidRPr="00D80050">
        <w:rPr>
          <w:noProof/>
          <w:lang w:val="en-US"/>
        </w:rPr>
        <w:t>(Dakhli, 2021)</w:t>
      </w:r>
      <w:r>
        <w:rPr>
          <w:lang w:val="en-US"/>
        </w:rPr>
        <w:fldChar w:fldCharType="end"/>
      </w:r>
      <w:r w:rsidRPr="00D80050">
        <w:t xml:space="preserve">. Kepemilikan institusional, di sisi lain, umumnya dikaitkan dengan pengawasan yang lebih kuat terhadap kualitas tata kelola dan pengungkapan CSR </w:t>
      </w:r>
      <w:r>
        <w:fldChar w:fldCharType="begin" w:fldLock="1"/>
      </w:r>
      <w: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performance","type":"article-journal","volume":"16"},"uris":["http://www.mendeley.com/documents/?uuid=4a09875d-05aa-4f50-a82b-9cff58ec886a"]},{"id":"ITEM-2","itemData":{"author":[{"dropping-particle":"","family":"Turnip","given":"Yuni Arta","non-dropping-particle":"","parse-names":false,"suffix":""},{"dropping-particle":"","family":"Anggusti","given":"Martono Anggusti","non-dropping-particle":"","parse-names":false,"suffix":""},{"dropping-particle":"","family":"Nababan","given":"Roida Nababan","non-dropping-particle":"","parse-names":false,"suffix":""}],"id":"ITEM-2","issue":"3","issued":{"date-parts":[["2026"]]},"page":"1887-1897","title":"Kewajiban Direksi PT Dalam Penerapan Prinsip Environmental , Social , dan Governance ( Esg ) Sebagai Instrumen Pembangunan Keberlanjutan ( Studi Kasus Kim )","type":"article-journal","volume":"6"},"uris":["http://www.mendeley.com/documents/?uuid=0abd3b57-8f48-46ae-ac0d-fca754930712"]}],"mendeley":{"formattedCitation":"(Dakhli, 2021; Turnip et al., 2026)","plainTextFormattedCitation":"(Dakhli, 2021; Turnip et al., 2026)","previouslyFormattedCitation":"(Dakhli, 2021; Turnip et al., 2026)"},"properties":{"noteIndex":0},"schema":"https://github.com/citation-style-language/schema/raw/master/csl-citation.json"}</w:instrText>
      </w:r>
      <w:r>
        <w:fldChar w:fldCharType="separate"/>
      </w:r>
      <w:r w:rsidRPr="00D80050">
        <w:rPr>
          <w:noProof/>
        </w:rPr>
        <w:t>(Dakhli, 2021; Turnip et al., 2026)</w:t>
      </w:r>
      <w:r>
        <w:fldChar w:fldCharType="end"/>
      </w:r>
      <w:r w:rsidRPr="00D80050">
        <w:t>.</w:t>
      </w:r>
    </w:p>
    <w:p w14:paraId="664FF17F" w14:textId="214CF1B9" w:rsidR="00D80050" w:rsidRPr="00D80050" w:rsidRDefault="00D80050" w:rsidP="00D80050">
      <w:pPr>
        <w:tabs>
          <w:tab w:val="left" w:pos="567"/>
        </w:tabs>
        <w:adjustRightInd w:val="0"/>
        <w:rPr>
          <w:lang w:val="en-ID"/>
        </w:rPr>
      </w:pPr>
      <w:r>
        <w:tab/>
      </w:r>
      <w:proofErr w:type="spellStart"/>
      <w:r w:rsidRPr="00D80050">
        <w:rPr>
          <w:lang w:val="en-ID"/>
        </w:rPr>
        <w:t>Hubungan</w:t>
      </w:r>
      <w:proofErr w:type="spellEnd"/>
      <w:r w:rsidRPr="00D80050">
        <w:rPr>
          <w:lang w:val="en-ID"/>
        </w:rPr>
        <w:t xml:space="preserve"> </w:t>
      </w:r>
      <w:proofErr w:type="spellStart"/>
      <w:r w:rsidRPr="00D80050">
        <w:rPr>
          <w:lang w:val="en-ID"/>
        </w:rPr>
        <w:t>antara</w:t>
      </w:r>
      <w:proofErr w:type="spellEnd"/>
      <w:r w:rsidRPr="00D80050">
        <w:rPr>
          <w:lang w:val="en-ID"/>
        </w:rPr>
        <w:t xml:space="preserve"> </w:t>
      </w:r>
      <w:proofErr w:type="spellStart"/>
      <w:r w:rsidRPr="00D80050">
        <w:rPr>
          <w:lang w:val="en-ID"/>
        </w:rPr>
        <w:t>struktur</w:t>
      </w:r>
      <w:proofErr w:type="spellEnd"/>
      <w:r w:rsidRPr="00D80050">
        <w:rPr>
          <w:lang w:val="en-ID"/>
        </w:rPr>
        <w:t xml:space="preserve"> </w:t>
      </w:r>
      <w:proofErr w:type="spellStart"/>
      <w:r w:rsidRPr="00D80050">
        <w:rPr>
          <w:lang w:val="en-ID"/>
        </w:rPr>
        <w:t>kepemilikan</w:t>
      </w:r>
      <w:proofErr w:type="spellEnd"/>
      <w:r w:rsidRPr="00D80050">
        <w:rPr>
          <w:lang w:val="en-ID"/>
        </w:rPr>
        <w:t xml:space="preserve"> dan CSR juga </w:t>
      </w:r>
      <w:proofErr w:type="spellStart"/>
      <w:r w:rsidRPr="00D80050">
        <w:rPr>
          <w:lang w:val="en-ID"/>
        </w:rPr>
        <w:t>diduga</w:t>
      </w:r>
      <w:proofErr w:type="spellEnd"/>
      <w:r w:rsidRPr="00D80050">
        <w:rPr>
          <w:lang w:val="en-ID"/>
        </w:rPr>
        <w:t xml:space="preserve"> </w:t>
      </w:r>
      <w:proofErr w:type="spellStart"/>
      <w:r w:rsidRPr="00D80050">
        <w:rPr>
          <w:lang w:val="en-ID"/>
        </w:rPr>
        <w:t>dipengaruhi</w:t>
      </w:r>
      <w:proofErr w:type="spellEnd"/>
      <w:r w:rsidRPr="00D80050">
        <w:rPr>
          <w:lang w:val="en-ID"/>
        </w:rPr>
        <w:t xml:space="preserve"> oleh </w:t>
      </w:r>
      <w:proofErr w:type="spellStart"/>
      <w:r w:rsidRPr="00D80050">
        <w:rPr>
          <w:lang w:val="en-ID"/>
        </w:rPr>
        <w:t>kinerja</w:t>
      </w:r>
      <w:proofErr w:type="spellEnd"/>
      <w:r w:rsidRPr="00D80050">
        <w:rPr>
          <w:lang w:val="en-ID"/>
        </w:rPr>
        <w:t xml:space="preserve"> </w:t>
      </w:r>
      <w:proofErr w:type="spellStart"/>
      <w:r w:rsidRPr="00D80050">
        <w:rPr>
          <w:lang w:val="en-ID"/>
        </w:rPr>
        <w:t>perusahaan</w:t>
      </w:r>
      <w:proofErr w:type="spellEnd"/>
      <w:r w:rsidRPr="00D80050">
        <w:rPr>
          <w:lang w:val="en-ID"/>
        </w:rPr>
        <w:t xml:space="preserve">, yang </w:t>
      </w:r>
      <w:proofErr w:type="spellStart"/>
      <w:r w:rsidRPr="00D80050">
        <w:rPr>
          <w:lang w:val="en-ID"/>
        </w:rPr>
        <w:t>dalam</w:t>
      </w:r>
      <w:proofErr w:type="spellEnd"/>
      <w:r w:rsidRPr="00D80050">
        <w:rPr>
          <w:lang w:val="en-ID"/>
        </w:rPr>
        <w:t xml:space="preserve"> </w:t>
      </w:r>
      <w:proofErr w:type="spellStart"/>
      <w:r w:rsidRPr="00D80050">
        <w:rPr>
          <w:lang w:val="en-ID"/>
        </w:rPr>
        <w:t>penelitian</w:t>
      </w:r>
      <w:proofErr w:type="spellEnd"/>
      <w:r w:rsidRPr="00D80050">
        <w:rPr>
          <w:lang w:val="en-ID"/>
        </w:rPr>
        <w:t xml:space="preserve"> </w:t>
      </w:r>
      <w:proofErr w:type="spellStart"/>
      <w:r w:rsidRPr="00D80050">
        <w:rPr>
          <w:lang w:val="en-ID"/>
        </w:rPr>
        <w:t>ini</w:t>
      </w:r>
      <w:proofErr w:type="spellEnd"/>
      <w:r w:rsidRPr="00D80050">
        <w:rPr>
          <w:lang w:val="en-ID"/>
        </w:rPr>
        <w:t xml:space="preserve"> </w:t>
      </w:r>
      <w:proofErr w:type="spellStart"/>
      <w:r w:rsidRPr="00D80050">
        <w:rPr>
          <w:lang w:val="en-ID"/>
        </w:rPr>
        <w:t>diproksikan</w:t>
      </w:r>
      <w:proofErr w:type="spellEnd"/>
      <w:r w:rsidRPr="00D80050">
        <w:rPr>
          <w:lang w:val="en-ID"/>
        </w:rPr>
        <w:t xml:space="preserve"> </w:t>
      </w:r>
      <w:proofErr w:type="spellStart"/>
      <w:r w:rsidRPr="00D80050">
        <w:rPr>
          <w:lang w:val="en-ID"/>
        </w:rPr>
        <w:t>melalui</w:t>
      </w:r>
      <w:proofErr w:type="spellEnd"/>
      <w:r w:rsidRPr="00D80050">
        <w:rPr>
          <w:lang w:val="en-ID"/>
        </w:rPr>
        <w:t xml:space="preserve"> </w:t>
      </w:r>
      <w:r w:rsidRPr="00D80050">
        <w:rPr>
          <w:i/>
          <w:iCs/>
          <w:lang w:val="en-ID"/>
        </w:rPr>
        <w:t>Tobin's Q</w:t>
      </w:r>
      <w:r w:rsidRPr="00D80050">
        <w:rPr>
          <w:lang w:val="en-ID"/>
        </w:rPr>
        <w:t xml:space="preserve">. Perusahaan </w:t>
      </w:r>
      <w:proofErr w:type="spellStart"/>
      <w:r w:rsidRPr="00D80050">
        <w:rPr>
          <w:lang w:val="en-ID"/>
        </w:rPr>
        <w:t>dengan</w:t>
      </w:r>
      <w:proofErr w:type="spellEnd"/>
      <w:r w:rsidRPr="00D80050">
        <w:rPr>
          <w:lang w:val="en-ID"/>
        </w:rPr>
        <w:t xml:space="preserve"> </w:t>
      </w:r>
      <w:r w:rsidRPr="00D80050">
        <w:rPr>
          <w:i/>
          <w:iCs/>
          <w:lang w:val="en-ID"/>
        </w:rPr>
        <w:t>Tobin's Q</w:t>
      </w:r>
      <w:r w:rsidRPr="00D80050">
        <w:rPr>
          <w:lang w:val="en-ID"/>
        </w:rPr>
        <w:t xml:space="preserve"> </w:t>
      </w:r>
      <w:proofErr w:type="spellStart"/>
      <w:r w:rsidRPr="00D80050">
        <w:rPr>
          <w:lang w:val="en-ID"/>
        </w:rPr>
        <w:t>tinggi</w:t>
      </w:r>
      <w:proofErr w:type="spellEnd"/>
      <w:r w:rsidRPr="00D80050">
        <w:rPr>
          <w:lang w:val="en-ID"/>
        </w:rPr>
        <w:t xml:space="preserve"> </w:t>
      </w:r>
      <w:proofErr w:type="spellStart"/>
      <w:r w:rsidRPr="00D80050">
        <w:rPr>
          <w:lang w:val="en-ID"/>
        </w:rPr>
        <w:t>cenderung</w:t>
      </w:r>
      <w:proofErr w:type="spellEnd"/>
      <w:r w:rsidRPr="00D80050">
        <w:rPr>
          <w:lang w:val="en-ID"/>
        </w:rPr>
        <w:t xml:space="preserve"> </w:t>
      </w:r>
      <w:proofErr w:type="spellStart"/>
      <w:r w:rsidRPr="00D80050">
        <w:rPr>
          <w:lang w:val="en-ID"/>
        </w:rPr>
        <w:t>mendapat</w:t>
      </w:r>
      <w:proofErr w:type="spellEnd"/>
      <w:r w:rsidRPr="00D80050">
        <w:rPr>
          <w:lang w:val="en-ID"/>
        </w:rPr>
        <w:t xml:space="preserve"> </w:t>
      </w:r>
      <w:proofErr w:type="spellStart"/>
      <w:r w:rsidRPr="00D80050">
        <w:rPr>
          <w:lang w:val="en-ID"/>
        </w:rPr>
        <w:t>kepercayaan</w:t>
      </w:r>
      <w:proofErr w:type="spellEnd"/>
      <w:r w:rsidRPr="00D80050">
        <w:rPr>
          <w:lang w:val="en-ID"/>
        </w:rPr>
        <w:t xml:space="preserve"> investor yang </w:t>
      </w:r>
      <w:proofErr w:type="spellStart"/>
      <w:r w:rsidRPr="00D80050">
        <w:rPr>
          <w:lang w:val="en-ID"/>
        </w:rPr>
        <w:t>lebih</w:t>
      </w:r>
      <w:proofErr w:type="spellEnd"/>
      <w:r w:rsidRPr="00D80050">
        <w:rPr>
          <w:lang w:val="en-ID"/>
        </w:rPr>
        <w:t xml:space="preserve"> </w:t>
      </w:r>
      <w:proofErr w:type="spellStart"/>
      <w:r w:rsidRPr="00D80050">
        <w:rPr>
          <w:lang w:val="en-ID"/>
        </w:rPr>
        <w:t>besar</w:t>
      </w:r>
      <w:proofErr w:type="spellEnd"/>
      <w:r w:rsidRPr="00D80050">
        <w:rPr>
          <w:lang w:val="en-ID"/>
        </w:rPr>
        <w:t xml:space="preserve">, </w:t>
      </w:r>
      <w:proofErr w:type="spellStart"/>
      <w:r w:rsidRPr="00D80050">
        <w:rPr>
          <w:lang w:val="en-ID"/>
        </w:rPr>
        <w:t>sehingga</w:t>
      </w:r>
      <w:proofErr w:type="spellEnd"/>
      <w:r w:rsidRPr="00D80050">
        <w:rPr>
          <w:lang w:val="en-ID"/>
        </w:rPr>
        <w:t xml:space="preserve"> </w:t>
      </w:r>
      <w:proofErr w:type="spellStart"/>
      <w:r w:rsidRPr="00D80050">
        <w:rPr>
          <w:lang w:val="en-ID"/>
        </w:rPr>
        <w:t>mendorong</w:t>
      </w:r>
      <w:proofErr w:type="spellEnd"/>
      <w:r w:rsidRPr="00D80050">
        <w:rPr>
          <w:lang w:val="en-ID"/>
        </w:rPr>
        <w:t xml:space="preserve"> </w:t>
      </w:r>
      <w:proofErr w:type="spellStart"/>
      <w:r w:rsidRPr="00D80050">
        <w:rPr>
          <w:lang w:val="en-ID"/>
        </w:rPr>
        <w:t>pengungkapan</w:t>
      </w:r>
      <w:proofErr w:type="spellEnd"/>
      <w:r w:rsidRPr="00D80050">
        <w:rPr>
          <w:lang w:val="en-ID"/>
        </w:rPr>
        <w:t xml:space="preserve"> yang </w:t>
      </w:r>
      <w:proofErr w:type="spellStart"/>
      <w:r w:rsidRPr="00D80050">
        <w:rPr>
          <w:lang w:val="en-ID"/>
        </w:rPr>
        <w:t>lebih</w:t>
      </w:r>
      <w:proofErr w:type="spellEnd"/>
      <w:r w:rsidRPr="00D80050">
        <w:rPr>
          <w:lang w:val="en-ID"/>
        </w:rPr>
        <w:t xml:space="preserve"> </w:t>
      </w:r>
      <w:proofErr w:type="spellStart"/>
      <w:r w:rsidRPr="00D80050">
        <w:rPr>
          <w:lang w:val="en-ID"/>
        </w:rPr>
        <w:t>transparan</w:t>
      </w:r>
      <w:proofErr w:type="spellEnd"/>
      <w:r>
        <w:rPr>
          <w:lang w:val="en-ID"/>
        </w:rPr>
        <w:t xml:space="preserve"> </w:t>
      </w:r>
      <w:r>
        <w:rPr>
          <w:lang w:val="en-ID"/>
        </w:rPr>
        <w:lastRenderedPageBreak/>
        <w:fldChar w:fldCharType="begin" w:fldLock="1"/>
      </w:r>
      <w:r>
        <w:rPr>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performance","type":"article-journal","volume":"16"},"uris":["http://www.mendeley.com/documents/?uuid=4a09875d-05aa-4f50-a82b-9cff58ec886a"]}],"mendeley":{"formattedCitation":"(Dakhli, 2021)","plainTextFormattedCitation":"(Dakhli, 2021)","previouslyFormattedCitation":"(Dakhli, 2021)"},"properties":{"noteIndex":0},"schema":"https://github.com/citation-style-language/schema/raw/master/csl-citation.json"}</w:instrText>
      </w:r>
      <w:r>
        <w:rPr>
          <w:lang w:val="en-ID"/>
        </w:rPr>
        <w:fldChar w:fldCharType="separate"/>
      </w:r>
      <w:r w:rsidRPr="00D80050">
        <w:rPr>
          <w:noProof/>
          <w:lang w:val="en-ID"/>
        </w:rPr>
        <w:t>(Dakhli, 2021)</w:t>
      </w:r>
      <w:r>
        <w:rPr>
          <w:lang w:val="en-ID"/>
        </w:rPr>
        <w:fldChar w:fldCharType="end"/>
      </w:r>
      <w:r w:rsidRPr="00D80050">
        <w:rPr>
          <w:lang w:val="en-ID"/>
        </w:rPr>
        <w:t xml:space="preserve">. </w:t>
      </w:r>
      <w:proofErr w:type="spellStart"/>
      <w:r w:rsidRPr="00D80050">
        <w:rPr>
          <w:lang w:val="en-ID"/>
        </w:rPr>
        <w:t>Inkonsistensi</w:t>
      </w:r>
      <w:proofErr w:type="spellEnd"/>
      <w:r w:rsidRPr="00D80050">
        <w:rPr>
          <w:lang w:val="en-ID"/>
        </w:rPr>
        <w:t xml:space="preserve"> </w:t>
      </w:r>
      <w:proofErr w:type="spellStart"/>
      <w:r w:rsidRPr="00D80050">
        <w:rPr>
          <w:lang w:val="en-ID"/>
        </w:rPr>
        <w:t>temuan</w:t>
      </w:r>
      <w:proofErr w:type="spellEnd"/>
      <w:r w:rsidRPr="00D80050">
        <w:rPr>
          <w:lang w:val="en-ID"/>
        </w:rPr>
        <w:t xml:space="preserve"> </w:t>
      </w:r>
      <w:proofErr w:type="spellStart"/>
      <w:r w:rsidRPr="00D80050">
        <w:rPr>
          <w:lang w:val="en-ID"/>
        </w:rPr>
        <w:t>penelitian-penelitian</w:t>
      </w:r>
      <w:proofErr w:type="spellEnd"/>
      <w:r w:rsidRPr="00D80050">
        <w:rPr>
          <w:lang w:val="en-ID"/>
        </w:rPr>
        <w:t xml:space="preserve"> </w:t>
      </w:r>
      <w:proofErr w:type="spellStart"/>
      <w:r w:rsidRPr="00D80050">
        <w:rPr>
          <w:lang w:val="en-ID"/>
        </w:rPr>
        <w:t>terdahulu</w:t>
      </w:r>
      <w:proofErr w:type="spellEnd"/>
      <w:r w:rsidRPr="00D80050">
        <w:rPr>
          <w:lang w:val="en-ID"/>
        </w:rPr>
        <w:t xml:space="preserve"> </w:t>
      </w:r>
      <w:proofErr w:type="spellStart"/>
      <w:r w:rsidRPr="00D80050">
        <w:rPr>
          <w:lang w:val="en-ID"/>
        </w:rPr>
        <w:t>mengenai</w:t>
      </w:r>
      <w:proofErr w:type="spellEnd"/>
      <w:r w:rsidRPr="00D80050">
        <w:rPr>
          <w:lang w:val="en-ID"/>
        </w:rPr>
        <w:t xml:space="preserve"> </w:t>
      </w:r>
      <w:proofErr w:type="spellStart"/>
      <w:r w:rsidRPr="00D80050">
        <w:rPr>
          <w:lang w:val="en-ID"/>
        </w:rPr>
        <w:t>pengaruh</w:t>
      </w:r>
      <w:proofErr w:type="spellEnd"/>
      <w:r w:rsidRPr="00D80050">
        <w:rPr>
          <w:lang w:val="en-ID"/>
        </w:rPr>
        <w:t xml:space="preserve"> </w:t>
      </w:r>
      <w:proofErr w:type="spellStart"/>
      <w:r w:rsidRPr="00D80050">
        <w:rPr>
          <w:lang w:val="en-ID"/>
        </w:rPr>
        <w:t>kepemilikan</w:t>
      </w:r>
      <w:proofErr w:type="spellEnd"/>
      <w:r w:rsidRPr="00D80050">
        <w:rPr>
          <w:lang w:val="en-ID"/>
        </w:rPr>
        <w:t xml:space="preserve"> </w:t>
      </w:r>
      <w:proofErr w:type="spellStart"/>
      <w:r w:rsidRPr="00D80050">
        <w:rPr>
          <w:lang w:val="en-ID"/>
        </w:rPr>
        <w:t>manajerial</w:t>
      </w:r>
      <w:proofErr w:type="spellEnd"/>
      <w:r w:rsidRPr="00D80050">
        <w:rPr>
          <w:lang w:val="en-ID"/>
        </w:rPr>
        <w:t xml:space="preserve"> dan </w:t>
      </w:r>
      <w:proofErr w:type="spellStart"/>
      <w:r w:rsidRPr="00D80050">
        <w:rPr>
          <w:lang w:val="en-ID"/>
        </w:rPr>
        <w:t>institusional</w:t>
      </w:r>
      <w:proofErr w:type="spellEnd"/>
      <w:r w:rsidRPr="00D80050">
        <w:rPr>
          <w:lang w:val="en-ID"/>
        </w:rPr>
        <w:t xml:space="preserve"> </w:t>
      </w:r>
      <w:proofErr w:type="spellStart"/>
      <w:r w:rsidRPr="00D80050">
        <w:rPr>
          <w:lang w:val="en-ID"/>
        </w:rPr>
        <w:t>terhadap</w:t>
      </w:r>
      <w:proofErr w:type="spellEnd"/>
      <w:r w:rsidRPr="00D80050">
        <w:rPr>
          <w:lang w:val="en-ID"/>
        </w:rPr>
        <w:t xml:space="preserve"> CSR</w:t>
      </w:r>
      <w:r>
        <w:rPr>
          <w:lang w:val="en-ID"/>
        </w:rPr>
        <w:t xml:space="preserve"> </w:t>
      </w:r>
      <w:r>
        <w:rPr>
          <w:lang w:val="en-ID"/>
        </w:rPr>
        <w:fldChar w:fldCharType="begin" w:fldLock="1"/>
      </w:r>
      <w:r>
        <w:rPr>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performance","type":"article-journal","volume":"16"},"uris":["http://www.mendeley.com/documents/?uuid=4a09875d-05aa-4f50-a82b-9cff58ec886a"]},{"id":"ITEM-2","itemData":{"DOI":"10.31955/mea.v7i3.3576","ISSN":"2621-5306","abstract":"Manajemen laba dapat didefinisikan sebagai hak yang dimiliki melekat pada seorang manajer. Hak ini digunakan manajer untuk mempercantik laporan keuangan organisasinya. Manajer dapat melakukan aktivitas berupa peningkatan laba yang digunakan untuk menarik minat dari investor untuk melakukan penanaman modal pada organisasi. Pada perkembangannya organisasi juga seringkali mendapatkan investasi yang bersumber dari investor institusional dimana organisasi yang melakukan transaksi investasi atas nama orang lain. Tujuan utama dari penelitian ini analah melakukan pengujian sekaligus analisis mendalam mengenai keterkaitan sekaligus pengaruh dari manajemen laba dan kepemilikan institusional terhadap kinerja organisasi. Penelitian ini memanfaatkan data sekunder yang bersumber dari laporan keuangan yang diambil dari official web organisasisampel. Riset ini menggunakan teknik purposive sampling. Riset ini mengambil 7 organisasi sampel sub sektor logam dan sejenisnya periode 2018 sampai dengan periode 2022. Analisis data yang dilakukan adalah menggunakan regresi linier berganda. Setelah melakukan pengujian, dapat diketahui bahwa manajemen laba dan kepemilikan institusional tidak memiliki pengaruh terhadap kinerja organisasi.","author":[{"dropping-particle":"","family":"Rahmawati","given":"Iroh","non-dropping-particle":"","parse-names":false,"suffix":""},{"dropping-particle":"","family":"Maulana","given":"Ingga","non-dropping-particle":"","parse-names":false,"suffix":""}],"container-title":"Jurnal Ilmiah Manajemen, Ekonomi, &amp; Akuntansi (MEA)","id":"ITEM-2","issue":"3","issued":{"date-parts":[["2026"]]},"page":"1629-1642","title":"Pengaruh Manajemen Laba Dan Kepemilikan Institusional Terhadap Kinerja Keuangan","type":"article-journal","volume":"7"},"uris":["http://www.mendeley.com/documents/?uuid=ac2f1652-4833-4b38-8ff3-f0d39a6bc712"]}],"mendeley":{"formattedCitation":"(Dakhli, 2021; Rahmawati &amp; Maulana, 2026)","plainTextFormattedCitation":"(Dakhli, 2021; Rahmawati &amp; Maulana, 2026)"},"properties":{"noteIndex":0},"schema":"https://github.com/citation-style-language/schema/raw/master/csl-citation.json"}</w:instrText>
      </w:r>
      <w:r>
        <w:rPr>
          <w:lang w:val="en-ID"/>
        </w:rPr>
        <w:fldChar w:fldCharType="separate"/>
      </w:r>
      <w:r w:rsidRPr="00D80050">
        <w:rPr>
          <w:noProof/>
          <w:lang w:val="en-ID"/>
        </w:rPr>
        <w:t>(Dakhli, 2021; Rahmawati &amp; Maulana, 2026)</w:t>
      </w:r>
      <w:r>
        <w:rPr>
          <w:lang w:val="en-ID"/>
        </w:rPr>
        <w:fldChar w:fldCharType="end"/>
      </w:r>
      <w:r w:rsidRPr="00D80050">
        <w:rPr>
          <w:lang w:val="en-ID"/>
        </w:rPr>
        <w:t xml:space="preserve"> </w:t>
      </w:r>
      <w:proofErr w:type="spellStart"/>
      <w:r w:rsidRPr="00D80050">
        <w:rPr>
          <w:lang w:val="en-ID"/>
        </w:rPr>
        <w:t>menunjukkan</w:t>
      </w:r>
      <w:proofErr w:type="spellEnd"/>
      <w:r w:rsidRPr="00D80050">
        <w:rPr>
          <w:lang w:val="en-ID"/>
        </w:rPr>
        <w:t xml:space="preserve"> </w:t>
      </w:r>
      <w:proofErr w:type="spellStart"/>
      <w:r w:rsidRPr="00D80050">
        <w:rPr>
          <w:lang w:val="en-ID"/>
        </w:rPr>
        <w:t>perlunya</w:t>
      </w:r>
      <w:proofErr w:type="spellEnd"/>
      <w:r w:rsidRPr="00D80050">
        <w:rPr>
          <w:lang w:val="en-ID"/>
        </w:rPr>
        <w:t xml:space="preserve"> </w:t>
      </w:r>
      <w:proofErr w:type="spellStart"/>
      <w:r w:rsidRPr="00D80050">
        <w:rPr>
          <w:lang w:val="en-ID"/>
        </w:rPr>
        <w:t>mempertimbangkan</w:t>
      </w:r>
      <w:proofErr w:type="spellEnd"/>
      <w:r w:rsidRPr="00D80050">
        <w:rPr>
          <w:lang w:val="en-ID"/>
        </w:rPr>
        <w:t xml:space="preserve"> </w:t>
      </w:r>
      <w:proofErr w:type="spellStart"/>
      <w:r w:rsidRPr="00D80050">
        <w:rPr>
          <w:lang w:val="en-ID"/>
        </w:rPr>
        <w:t>kinerja</w:t>
      </w:r>
      <w:proofErr w:type="spellEnd"/>
      <w:r w:rsidRPr="00D80050">
        <w:rPr>
          <w:lang w:val="en-ID"/>
        </w:rPr>
        <w:t xml:space="preserve"> </w:t>
      </w:r>
      <w:proofErr w:type="spellStart"/>
      <w:r w:rsidRPr="00D80050">
        <w:rPr>
          <w:lang w:val="en-ID"/>
        </w:rPr>
        <w:t>perusahaan</w:t>
      </w:r>
      <w:proofErr w:type="spellEnd"/>
      <w:r w:rsidRPr="00D80050">
        <w:rPr>
          <w:lang w:val="en-ID"/>
        </w:rPr>
        <w:t xml:space="preserve"> </w:t>
      </w:r>
      <w:proofErr w:type="spellStart"/>
      <w:r w:rsidRPr="00D80050">
        <w:rPr>
          <w:lang w:val="en-ID"/>
        </w:rPr>
        <w:t>sebagai</w:t>
      </w:r>
      <w:proofErr w:type="spellEnd"/>
      <w:r w:rsidRPr="00D80050">
        <w:rPr>
          <w:lang w:val="en-ID"/>
        </w:rPr>
        <w:t xml:space="preserve"> </w:t>
      </w:r>
      <w:proofErr w:type="spellStart"/>
      <w:r w:rsidRPr="00D80050">
        <w:rPr>
          <w:lang w:val="en-ID"/>
        </w:rPr>
        <w:t>variabel</w:t>
      </w:r>
      <w:proofErr w:type="spellEnd"/>
      <w:r w:rsidRPr="00D80050">
        <w:rPr>
          <w:lang w:val="en-ID"/>
        </w:rPr>
        <w:t xml:space="preserve"> </w:t>
      </w:r>
      <w:proofErr w:type="spellStart"/>
      <w:r w:rsidRPr="00D80050">
        <w:rPr>
          <w:lang w:val="en-ID"/>
        </w:rPr>
        <w:t>moderasi</w:t>
      </w:r>
      <w:proofErr w:type="spellEnd"/>
      <w:r w:rsidRPr="00D80050">
        <w:rPr>
          <w:lang w:val="en-ID"/>
        </w:rPr>
        <w:t>.</w:t>
      </w:r>
    </w:p>
    <w:p w14:paraId="23F08947" w14:textId="1814DEC4" w:rsidR="00D80050" w:rsidRPr="00D80050" w:rsidRDefault="00D80050" w:rsidP="00D80050">
      <w:pPr>
        <w:tabs>
          <w:tab w:val="left" w:pos="567"/>
        </w:tabs>
        <w:adjustRightInd w:val="0"/>
        <w:rPr>
          <w:lang w:val="en-ID"/>
        </w:rPr>
      </w:pPr>
      <w:r>
        <w:rPr>
          <w:lang w:val="en-ID"/>
        </w:rPr>
        <w:tab/>
      </w:r>
      <w:proofErr w:type="spellStart"/>
      <w:r w:rsidRPr="00D80050">
        <w:rPr>
          <w:lang w:val="en-ID"/>
        </w:rPr>
        <w:t>Berdasarkan</w:t>
      </w:r>
      <w:proofErr w:type="spellEnd"/>
      <w:r w:rsidRPr="00D80050">
        <w:rPr>
          <w:lang w:val="en-ID"/>
        </w:rPr>
        <w:t xml:space="preserve"> </w:t>
      </w:r>
      <w:proofErr w:type="spellStart"/>
      <w:r w:rsidRPr="00D80050">
        <w:rPr>
          <w:lang w:val="en-ID"/>
        </w:rPr>
        <w:t>uraian</w:t>
      </w:r>
      <w:proofErr w:type="spellEnd"/>
      <w:r w:rsidRPr="00D80050">
        <w:rPr>
          <w:lang w:val="en-ID"/>
        </w:rPr>
        <w:t xml:space="preserve"> </w:t>
      </w:r>
      <w:proofErr w:type="spellStart"/>
      <w:r w:rsidRPr="00D80050">
        <w:rPr>
          <w:lang w:val="en-ID"/>
        </w:rPr>
        <w:t>tersebut</w:t>
      </w:r>
      <w:proofErr w:type="spellEnd"/>
      <w:r w:rsidRPr="00D80050">
        <w:rPr>
          <w:lang w:val="en-ID"/>
        </w:rPr>
        <w:t xml:space="preserve">, </w:t>
      </w:r>
      <w:proofErr w:type="spellStart"/>
      <w:r w:rsidRPr="00D80050">
        <w:rPr>
          <w:lang w:val="en-ID"/>
        </w:rPr>
        <w:t>penelitian</w:t>
      </w:r>
      <w:proofErr w:type="spellEnd"/>
      <w:r w:rsidRPr="00D80050">
        <w:rPr>
          <w:lang w:val="en-ID"/>
        </w:rPr>
        <w:t xml:space="preserve"> </w:t>
      </w:r>
      <w:proofErr w:type="spellStart"/>
      <w:r w:rsidRPr="00D80050">
        <w:rPr>
          <w:lang w:val="en-ID"/>
        </w:rPr>
        <w:t>ini</w:t>
      </w:r>
      <w:proofErr w:type="spellEnd"/>
      <w:r w:rsidRPr="00D80050">
        <w:rPr>
          <w:lang w:val="en-ID"/>
        </w:rPr>
        <w:t xml:space="preserve"> </w:t>
      </w:r>
      <w:proofErr w:type="spellStart"/>
      <w:r w:rsidRPr="00D80050">
        <w:rPr>
          <w:lang w:val="en-ID"/>
        </w:rPr>
        <w:t>bertujuan</w:t>
      </w:r>
      <w:proofErr w:type="spellEnd"/>
      <w:r w:rsidRPr="00D80050">
        <w:rPr>
          <w:lang w:val="en-ID"/>
        </w:rPr>
        <w:t xml:space="preserve"> </w:t>
      </w:r>
      <w:proofErr w:type="spellStart"/>
      <w:r w:rsidRPr="00D80050">
        <w:rPr>
          <w:lang w:val="en-ID"/>
        </w:rPr>
        <w:t>menguji</w:t>
      </w:r>
      <w:proofErr w:type="spellEnd"/>
      <w:r w:rsidRPr="00D80050">
        <w:rPr>
          <w:lang w:val="en-ID"/>
        </w:rPr>
        <w:t xml:space="preserve"> </w:t>
      </w:r>
      <w:proofErr w:type="spellStart"/>
      <w:r w:rsidRPr="00D80050">
        <w:rPr>
          <w:lang w:val="en-ID"/>
        </w:rPr>
        <w:t>pengaruh</w:t>
      </w:r>
      <w:proofErr w:type="spellEnd"/>
      <w:r w:rsidRPr="00D80050">
        <w:rPr>
          <w:lang w:val="en-ID"/>
        </w:rPr>
        <w:t xml:space="preserve"> </w:t>
      </w:r>
      <w:proofErr w:type="spellStart"/>
      <w:r w:rsidRPr="00D80050">
        <w:rPr>
          <w:lang w:val="en-ID"/>
        </w:rPr>
        <w:t>kepemilikan</w:t>
      </w:r>
      <w:proofErr w:type="spellEnd"/>
      <w:r w:rsidRPr="00D80050">
        <w:rPr>
          <w:lang w:val="en-ID"/>
        </w:rPr>
        <w:t xml:space="preserve"> </w:t>
      </w:r>
      <w:proofErr w:type="spellStart"/>
      <w:r w:rsidRPr="00D80050">
        <w:rPr>
          <w:lang w:val="en-ID"/>
        </w:rPr>
        <w:t>manajerial</w:t>
      </w:r>
      <w:proofErr w:type="spellEnd"/>
      <w:r w:rsidRPr="00D80050">
        <w:rPr>
          <w:lang w:val="en-ID"/>
        </w:rPr>
        <w:t xml:space="preserve"> dan </w:t>
      </w:r>
      <w:proofErr w:type="spellStart"/>
      <w:r w:rsidRPr="00D80050">
        <w:rPr>
          <w:lang w:val="en-ID"/>
        </w:rPr>
        <w:t>kepemilikan</w:t>
      </w:r>
      <w:proofErr w:type="spellEnd"/>
      <w:r w:rsidRPr="00D80050">
        <w:rPr>
          <w:lang w:val="en-ID"/>
        </w:rPr>
        <w:t xml:space="preserve"> </w:t>
      </w:r>
      <w:proofErr w:type="spellStart"/>
      <w:r w:rsidRPr="00D80050">
        <w:rPr>
          <w:lang w:val="en-ID"/>
        </w:rPr>
        <w:t>institusional</w:t>
      </w:r>
      <w:proofErr w:type="spellEnd"/>
      <w:r w:rsidRPr="00D80050">
        <w:rPr>
          <w:lang w:val="en-ID"/>
        </w:rPr>
        <w:t xml:space="preserve"> </w:t>
      </w:r>
      <w:proofErr w:type="spellStart"/>
      <w:r w:rsidRPr="00D80050">
        <w:rPr>
          <w:lang w:val="en-ID"/>
        </w:rPr>
        <w:t>terhadap</w:t>
      </w:r>
      <w:proofErr w:type="spellEnd"/>
      <w:r w:rsidRPr="00D80050">
        <w:rPr>
          <w:lang w:val="en-ID"/>
        </w:rPr>
        <w:t xml:space="preserve"> </w:t>
      </w:r>
      <w:proofErr w:type="spellStart"/>
      <w:r w:rsidRPr="00D80050">
        <w:rPr>
          <w:lang w:val="en-ID"/>
        </w:rPr>
        <w:t>pengungkapan</w:t>
      </w:r>
      <w:proofErr w:type="spellEnd"/>
      <w:r w:rsidRPr="00D80050">
        <w:rPr>
          <w:lang w:val="en-ID"/>
        </w:rPr>
        <w:t xml:space="preserve"> CSR, </w:t>
      </w:r>
      <w:proofErr w:type="spellStart"/>
      <w:r w:rsidRPr="00D80050">
        <w:rPr>
          <w:lang w:val="en-ID"/>
        </w:rPr>
        <w:t>serta</w:t>
      </w:r>
      <w:proofErr w:type="spellEnd"/>
      <w:r w:rsidRPr="00D80050">
        <w:rPr>
          <w:lang w:val="en-ID"/>
        </w:rPr>
        <w:t xml:space="preserve"> </w:t>
      </w:r>
      <w:proofErr w:type="spellStart"/>
      <w:r w:rsidRPr="00D80050">
        <w:rPr>
          <w:lang w:val="en-ID"/>
        </w:rPr>
        <w:t>peran</w:t>
      </w:r>
      <w:proofErr w:type="spellEnd"/>
      <w:r w:rsidRPr="00D80050">
        <w:rPr>
          <w:lang w:val="en-ID"/>
        </w:rPr>
        <w:t xml:space="preserve"> </w:t>
      </w:r>
      <w:proofErr w:type="spellStart"/>
      <w:r w:rsidRPr="00D80050">
        <w:rPr>
          <w:lang w:val="en-ID"/>
        </w:rPr>
        <w:t>moderasi</w:t>
      </w:r>
      <w:proofErr w:type="spellEnd"/>
      <w:r w:rsidRPr="00D80050">
        <w:rPr>
          <w:lang w:val="en-ID"/>
        </w:rPr>
        <w:t xml:space="preserve"> </w:t>
      </w:r>
      <w:proofErr w:type="spellStart"/>
      <w:r w:rsidRPr="00D80050">
        <w:rPr>
          <w:lang w:val="en-ID"/>
        </w:rPr>
        <w:t>kinerja</w:t>
      </w:r>
      <w:proofErr w:type="spellEnd"/>
      <w:r w:rsidRPr="00D80050">
        <w:rPr>
          <w:lang w:val="en-ID"/>
        </w:rPr>
        <w:t xml:space="preserve"> </w:t>
      </w:r>
      <w:proofErr w:type="spellStart"/>
      <w:r w:rsidRPr="00D80050">
        <w:rPr>
          <w:lang w:val="en-ID"/>
        </w:rPr>
        <w:t>perusahaan</w:t>
      </w:r>
      <w:proofErr w:type="spellEnd"/>
      <w:r w:rsidRPr="00D80050">
        <w:rPr>
          <w:lang w:val="en-ID"/>
        </w:rPr>
        <w:t xml:space="preserve"> </w:t>
      </w:r>
      <w:proofErr w:type="spellStart"/>
      <w:r w:rsidRPr="00D80050">
        <w:rPr>
          <w:lang w:val="en-ID"/>
        </w:rPr>
        <w:t>dalam</w:t>
      </w:r>
      <w:proofErr w:type="spellEnd"/>
      <w:r w:rsidRPr="00D80050">
        <w:rPr>
          <w:lang w:val="en-ID"/>
        </w:rPr>
        <w:t xml:space="preserve"> </w:t>
      </w:r>
      <w:proofErr w:type="spellStart"/>
      <w:r w:rsidRPr="00D80050">
        <w:rPr>
          <w:lang w:val="en-ID"/>
        </w:rPr>
        <w:t>hubungan</w:t>
      </w:r>
      <w:proofErr w:type="spellEnd"/>
      <w:r w:rsidRPr="00D80050">
        <w:rPr>
          <w:lang w:val="en-ID"/>
        </w:rPr>
        <w:t xml:space="preserve"> </w:t>
      </w:r>
      <w:proofErr w:type="spellStart"/>
      <w:r w:rsidRPr="00D80050">
        <w:rPr>
          <w:lang w:val="en-ID"/>
        </w:rPr>
        <w:t>tersebut</w:t>
      </w:r>
      <w:proofErr w:type="spellEnd"/>
      <w:r w:rsidRPr="00D80050">
        <w:rPr>
          <w:lang w:val="en-ID"/>
        </w:rPr>
        <w:t xml:space="preserve">, pada </w:t>
      </w:r>
      <w:proofErr w:type="spellStart"/>
      <w:r w:rsidRPr="00D80050">
        <w:rPr>
          <w:lang w:val="en-ID"/>
        </w:rPr>
        <w:t>perusahaan</w:t>
      </w:r>
      <w:proofErr w:type="spellEnd"/>
      <w:r w:rsidRPr="00D80050">
        <w:rPr>
          <w:lang w:val="en-ID"/>
        </w:rPr>
        <w:t xml:space="preserve"> </w:t>
      </w:r>
      <w:proofErr w:type="spellStart"/>
      <w:r w:rsidRPr="00D80050">
        <w:rPr>
          <w:lang w:val="en-ID"/>
        </w:rPr>
        <w:t>manufaktur</w:t>
      </w:r>
      <w:proofErr w:type="spellEnd"/>
      <w:r w:rsidRPr="00D80050">
        <w:rPr>
          <w:lang w:val="en-ID"/>
        </w:rPr>
        <w:t xml:space="preserve"> yang </w:t>
      </w:r>
      <w:proofErr w:type="spellStart"/>
      <w:r w:rsidRPr="00D80050">
        <w:rPr>
          <w:lang w:val="en-ID"/>
        </w:rPr>
        <w:t>terdaftar</w:t>
      </w:r>
      <w:proofErr w:type="spellEnd"/>
      <w:r w:rsidRPr="00D80050">
        <w:rPr>
          <w:lang w:val="en-ID"/>
        </w:rPr>
        <w:t xml:space="preserve"> di Bursa </w:t>
      </w:r>
      <w:proofErr w:type="spellStart"/>
      <w:r w:rsidRPr="00D80050">
        <w:rPr>
          <w:lang w:val="en-ID"/>
        </w:rPr>
        <w:t>Efek</w:t>
      </w:r>
      <w:proofErr w:type="spellEnd"/>
      <w:r w:rsidRPr="00D80050">
        <w:rPr>
          <w:lang w:val="en-ID"/>
        </w:rPr>
        <w:t xml:space="preserve"> Indonesia </w:t>
      </w:r>
      <w:proofErr w:type="spellStart"/>
      <w:r w:rsidRPr="00D80050">
        <w:rPr>
          <w:lang w:val="en-ID"/>
        </w:rPr>
        <w:t>periode</w:t>
      </w:r>
      <w:proofErr w:type="spellEnd"/>
      <w:r w:rsidRPr="00D80050">
        <w:rPr>
          <w:lang w:val="en-ID"/>
        </w:rPr>
        <w:t xml:space="preserve"> 2021–2024. </w:t>
      </w:r>
      <w:proofErr w:type="spellStart"/>
      <w:r w:rsidRPr="00D80050">
        <w:rPr>
          <w:lang w:val="en-ID"/>
        </w:rPr>
        <w:t>Penelitian</w:t>
      </w:r>
      <w:proofErr w:type="spellEnd"/>
      <w:r w:rsidRPr="00D80050">
        <w:rPr>
          <w:lang w:val="en-ID"/>
        </w:rPr>
        <w:t xml:space="preserve"> </w:t>
      </w:r>
      <w:proofErr w:type="spellStart"/>
      <w:r w:rsidRPr="00D80050">
        <w:rPr>
          <w:lang w:val="en-ID"/>
        </w:rPr>
        <w:t>ini</w:t>
      </w:r>
      <w:proofErr w:type="spellEnd"/>
      <w:r w:rsidRPr="00D80050">
        <w:rPr>
          <w:lang w:val="en-ID"/>
        </w:rPr>
        <w:t xml:space="preserve"> </w:t>
      </w:r>
      <w:proofErr w:type="spellStart"/>
      <w:r w:rsidRPr="00D80050">
        <w:rPr>
          <w:lang w:val="en-ID"/>
        </w:rPr>
        <w:t>diharapkan</w:t>
      </w:r>
      <w:proofErr w:type="spellEnd"/>
      <w:r w:rsidRPr="00D80050">
        <w:rPr>
          <w:lang w:val="en-ID"/>
        </w:rPr>
        <w:t xml:space="preserve"> </w:t>
      </w:r>
      <w:proofErr w:type="spellStart"/>
      <w:r w:rsidRPr="00D80050">
        <w:rPr>
          <w:lang w:val="en-ID"/>
        </w:rPr>
        <w:t>memperkaya</w:t>
      </w:r>
      <w:proofErr w:type="spellEnd"/>
      <w:r w:rsidRPr="00D80050">
        <w:rPr>
          <w:lang w:val="en-ID"/>
        </w:rPr>
        <w:t xml:space="preserve"> </w:t>
      </w:r>
      <w:proofErr w:type="spellStart"/>
      <w:r w:rsidRPr="00D80050">
        <w:rPr>
          <w:lang w:val="en-ID"/>
        </w:rPr>
        <w:t>literatur</w:t>
      </w:r>
      <w:proofErr w:type="spellEnd"/>
      <w:r w:rsidRPr="00D80050">
        <w:rPr>
          <w:lang w:val="en-ID"/>
        </w:rPr>
        <w:t xml:space="preserve"> </w:t>
      </w:r>
      <w:r w:rsidRPr="00D80050">
        <w:rPr>
          <w:i/>
          <w:iCs/>
          <w:lang w:val="en-ID"/>
        </w:rPr>
        <w:t>Agency Theory</w:t>
      </w:r>
      <w:r w:rsidRPr="00D80050">
        <w:rPr>
          <w:lang w:val="en-ID"/>
        </w:rPr>
        <w:t xml:space="preserve"> </w:t>
      </w:r>
      <w:proofErr w:type="spellStart"/>
      <w:r w:rsidRPr="00D80050">
        <w:rPr>
          <w:lang w:val="en-ID"/>
        </w:rPr>
        <w:t>dalam</w:t>
      </w:r>
      <w:proofErr w:type="spellEnd"/>
      <w:r w:rsidRPr="00D80050">
        <w:rPr>
          <w:lang w:val="en-ID"/>
        </w:rPr>
        <w:t xml:space="preserve"> </w:t>
      </w:r>
      <w:proofErr w:type="spellStart"/>
      <w:r w:rsidRPr="00D80050">
        <w:rPr>
          <w:lang w:val="en-ID"/>
        </w:rPr>
        <w:t>konteks</w:t>
      </w:r>
      <w:proofErr w:type="spellEnd"/>
      <w:r w:rsidRPr="00D80050">
        <w:rPr>
          <w:lang w:val="en-ID"/>
        </w:rPr>
        <w:t xml:space="preserve"> </w:t>
      </w:r>
      <w:proofErr w:type="spellStart"/>
      <w:r w:rsidRPr="00D80050">
        <w:rPr>
          <w:lang w:val="en-ID"/>
        </w:rPr>
        <w:t>perusahaan</w:t>
      </w:r>
      <w:proofErr w:type="spellEnd"/>
      <w:r w:rsidRPr="00D80050">
        <w:rPr>
          <w:lang w:val="en-ID"/>
        </w:rPr>
        <w:t xml:space="preserve"> </w:t>
      </w:r>
      <w:proofErr w:type="spellStart"/>
      <w:r w:rsidRPr="00D80050">
        <w:rPr>
          <w:lang w:val="en-ID"/>
        </w:rPr>
        <w:t>manufaktur</w:t>
      </w:r>
      <w:proofErr w:type="spellEnd"/>
      <w:r w:rsidRPr="00D80050">
        <w:rPr>
          <w:lang w:val="en-ID"/>
        </w:rPr>
        <w:t xml:space="preserve"> di negara </w:t>
      </w:r>
      <w:proofErr w:type="spellStart"/>
      <w:r w:rsidRPr="00D80050">
        <w:rPr>
          <w:lang w:val="en-ID"/>
        </w:rPr>
        <w:t>berkembang</w:t>
      </w:r>
      <w:proofErr w:type="spellEnd"/>
      <w:r w:rsidRPr="00D80050">
        <w:rPr>
          <w:lang w:val="en-ID"/>
        </w:rPr>
        <w:t xml:space="preserve">, </w:t>
      </w:r>
      <w:proofErr w:type="spellStart"/>
      <w:r w:rsidRPr="00D80050">
        <w:rPr>
          <w:lang w:val="en-ID"/>
        </w:rPr>
        <w:t>sekaligus</w:t>
      </w:r>
      <w:proofErr w:type="spellEnd"/>
      <w:r w:rsidRPr="00D80050">
        <w:rPr>
          <w:lang w:val="en-ID"/>
        </w:rPr>
        <w:t xml:space="preserve"> </w:t>
      </w:r>
      <w:proofErr w:type="spellStart"/>
      <w:r w:rsidRPr="00D80050">
        <w:rPr>
          <w:lang w:val="en-ID"/>
        </w:rPr>
        <w:t>memberikan</w:t>
      </w:r>
      <w:proofErr w:type="spellEnd"/>
      <w:r w:rsidRPr="00D80050">
        <w:rPr>
          <w:lang w:val="en-ID"/>
        </w:rPr>
        <w:t xml:space="preserve"> </w:t>
      </w:r>
      <w:proofErr w:type="spellStart"/>
      <w:r w:rsidRPr="00D80050">
        <w:rPr>
          <w:lang w:val="en-ID"/>
        </w:rPr>
        <w:t>masukan</w:t>
      </w:r>
      <w:proofErr w:type="spellEnd"/>
      <w:r w:rsidRPr="00D80050">
        <w:rPr>
          <w:lang w:val="en-ID"/>
        </w:rPr>
        <w:t xml:space="preserve"> </w:t>
      </w:r>
      <w:proofErr w:type="spellStart"/>
      <w:r w:rsidRPr="00D80050">
        <w:rPr>
          <w:lang w:val="en-ID"/>
        </w:rPr>
        <w:t>praktis</w:t>
      </w:r>
      <w:proofErr w:type="spellEnd"/>
      <w:r w:rsidRPr="00D80050">
        <w:rPr>
          <w:lang w:val="en-ID"/>
        </w:rPr>
        <w:t xml:space="preserve"> </w:t>
      </w:r>
      <w:proofErr w:type="spellStart"/>
      <w:r w:rsidRPr="00D80050">
        <w:rPr>
          <w:lang w:val="en-ID"/>
        </w:rPr>
        <w:t>bagi</w:t>
      </w:r>
      <w:proofErr w:type="spellEnd"/>
      <w:r w:rsidRPr="00D80050">
        <w:rPr>
          <w:lang w:val="en-ID"/>
        </w:rPr>
        <w:t xml:space="preserve"> </w:t>
      </w:r>
      <w:proofErr w:type="spellStart"/>
      <w:r w:rsidRPr="00D80050">
        <w:rPr>
          <w:lang w:val="en-ID"/>
        </w:rPr>
        <w:t>manajemen</w:t>
      </w:r>
      <w:proofErr w:type="spellEnd"/>
      <w:r w:rsidRPr="00D80050">
        <w:rPr>
          <w:lang w:val="en-ID"/>
        </w:rPr>
        <w:t xml:space="preserve">, investor, dan regulator </w:t>
      </w:r>
      <w:proofErr w:type="spellStart"/>
      <w:r w:rsidRPr="00D80050">
        <w:rPr>
          <w:lang w:val="en-ID"/>
        </w:rPr>
        <w:t>dalam</w:t>
      </w:r>
      <w:proofErr w:type="spellEnd"/>
      <w:r w:rsidRPr="00D80050">
        <w:rPr>
          <w:lang w:val="en-ID"/>
        </w:rPr>
        <w:t xml:space="preserve"> </w:t>
      </w:r>
      <w:proofErr w:type="spellStart"/>
      <w:r w:rsidRPr="00D80050">
        <w:rPr>
          <w:lang w:val="en-ID"/>
        </w:rPr>
        <w:t>mendorong</w:t>
      </w:r>
      <w:proofErr w:type="spellEnd"/>
      <w:r w:rsidRPr="00D80050">
        <w:rPr>
          <w:lang w:val="en-ID"/>
        </w:rPr>
        <w:t xml:space="preserve"> </w:t>
      </w:r>
      <w:proofErr w:type="spellStart"/>
      <w:r w:rsidRPr="00D80050">
        <w:rPr>
          <w:lang w:val="en-ID"/>
        </w:rPr>
        <w:t>pengungkapan</w:t>
      </w:r>
      <w:proofErr w:type="spellEnd"/>
      <w:r w:rsidRPr="00D80050">
        <w:rPr>
          <w:lang w:val="en-ID"/>
        </w:rPr>
        <w:t xml:space="preserve"> CSR yang </w:t>
      </w:r>
      <w:proofErr w:type="spellStart"/>
      <w:r w:rsidRPr="00D80050">
        <w:rPr>
          <w:lang w:val="en-ID"/>
        </w:rPr>
        <w:t>lebih</w:t>
      </w:r>
      <w:proofErr w:type="spellEnd"/>
      <w:r w:rsidRPr="00D80050">
        <w:rPr>
          <w:lang w:val="en-ID"/>
        </w:rPr>
        <w:t xml:space="preserve"> </w:t>
      </w:r>
      <w:proofErr w:type="spellStart"/>
      <w:r w:rsidRPr="00D80050">
        <w:rPr>
          <w:lang w:val="en-ID"/>
        </w:rPr>
        <w:t>konsisten</w:t>
      </w:r>
      <w:proofErr w:type="spellEnd"/>
      <w:r w:rsidRPr="00D80050">
        <w:rPr>
          <w:lang w:val="en-ID"/>
        </w:rPr>
        <w:t>.</w:t>
      </w:r>
    </w:p>
    <w:p w14:paraId="0FD3801C" w14:textId="5DCF3119" w:rsidR="00D80050" w:rsidRPr="00D80050" w:rsidRDefault="00D80050" w:rsidP="00F07182">
      <w:pPr>
        <w:tabs>
          <w:tab w:val="left" w:pos="567"/>
        </w:tabs>
        <w:adjustRightInd w:val="0"/>
        <w:rPr>
          <w:rFonts w:cs="Times New Roman"/>
          <w:szCs w:val="24"/>
          <w:lang w:val="en-US"/>
        </w:rPr>
      </w:pPr>
    </w:p>
    <w:p w14:paraId="3B40A590" w14:textId="3A1C5F87" w:rsidR="00E7547F" w:rsidRDefault="00E7547F" w:rsidP="00F07182">
      <w:pPr>
        <w:tabs>
          <w:tab w:val="left" w:pos="567"/>
        </w:tabs>
        <w:adjustRightInd w:val="0"/>
        <w:rPr>
          <w:rFonts w:cs="Times New Roman"/>
          <w:szCs w:val="24"/>
          <w:lang w:val="en-US"/>
        </w:rPr>
      </w:pPr>
    </w:p>
    <w:p w14:paraId="14603D6E" w14:textId="6420FAF2" w:rsidR="00E27BC6" w:rsidRPr="00E27BC6" w:rsidRDefault="00E27BC6" w:rsidP="0022580B">
      <w:pPr>
        <w:adjustRightInd w:val="0"/>
        <w:spacing w:after="160"/>
        <w:ind w:firstLine="720"/>
        <w:rPr>
          <w:rFonts w:cs="Times New Roman"/>
          <w:szCs w:val="24"/>
          <w:lang w:val="en-ID"/>
        </w:rPr>
      </w:pPr>
    </w:p>
    <w:sectPr w:rsidR="00E27BC6" w:rsidRPr="00E27BC6" w:rsidSect="00742928">
      <w:headerReference w:type="default" r:id="rId8"/>
      <w:footerReference w:type="default" r:id="rId9"/>
      <w:pgSz w:w="11920" w:h="16860"/>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8E424" w14:textId="77777777" w:rsidR="00FB4FC9" w:rsidRDefault="00FB4FC9" w:rsidP="00C83A9F">
      <w:r>
        <w:separator/>
      </w:r>
    </w:p>
  </w:endnote>
  <w:endnote w:type="continuationSeparator" w:id="0">
    <w:p w14:paraId="3566265F" w14:textId="77777777" w:rsidR="00FB4FC9" w:rsidRDefault="00FB4FC9" w:rsidP="00C8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95870544"/>
      <w:docPartObj>
        <w:docPartGallery w:val="Page Numbers (Bottom of Page)"/>
        <w:docPartUnique/>
      </w:docPartObj>
    </w:sdtPr>
    <w:sdtEndPr>
      <w:rPr>
        <w:noProof/>
      </w:rPr>
    </w:sdtEndPr>
    <w:sdtContent>
      <w:p w14:paraId="4E45E141" w14:textId="3B27503D" w:rsidR="00383280" w:rsidRDefault="0038328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4222DDB" w14:textId="77777777" w:rsidR="00383280" w:rsidRDefault="00383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71C55" w14:textId="77777777" w:rsidR="00FB4FC9" w:rsidRDefault="00FB4FC9" w:rsidP="00C83A9F">
      <w:r>
        <w:separator/>
      </w:r>
    </w:p>
  </w:footnote>
  <w:footnote w:type="continuationSeparator" w:id="0">
    <w:p w14:paraId="7C8E4922" w14:textId="77777777" w:rsidR="00FB4FC9" w:rsidRDefault="00FB4FC9" w:rsidP="00C8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AF90" w14:textId="3FD76286" w:rsidR="00383280" w:rsidRPr="00803CF5" w:rsidRDefault="00383280" w:rsidP="00803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A23"/>
    <w:multiLevelType w:val="hybridMultilevel"/>
    <w:tmpl w:val="416E6F82"/>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2564F7A"/>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940EBA"/>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794252"/>
    <w:multiLevelType w:val="hybridMultilevel"/>
    <w:tmpl w:val="F5DA679E"/>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4F66E10"/>
    <w:multiLevelType w:val="hybridMultilevel"/>
    <w:tmpl w:val="FBF0C9D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C6D6669"/>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EA0275"/>
    <w:multiLevelType w:val="hybridMultilevel"/>
    <w:tmpl w:val="C2EC884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1342A92"/>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0004AF"/>
    <w:multiLevelType w:val="hybridMultilevel"/>
    <w:tmpl w:val="EE9A164E"/>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A84908"/>
    <w:multiLevelType w:val="hybridMultilevel"/>
    <w:tmpl w:val="99D058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AA722B"/>
    <w:multiLevelType w:val="hybridMultilevel"/>
    <w:tmpl w:val="6ADCFE7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23B34A13"/>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671771E"/>
    <w:multiLevelType w:val="hybridMultilevel"/>
    <w:tmpl w:val="71F654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EB43CC"/>
    <w:multiLevelType w:val="hybridMultilevel"/>
    <w:tmpl w:val="6A0CCE60"/>
    <w:lvl w:ilvl="0" w:tplc="BA20FD8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14" w15:restartNumberingAfterBreak="0">
    <w:nsid w:val="307F44CA"/>
    <w:multiLevelType w:val="hybridMultilevel"/>
    <w:tmpl w:val="22E2A7AC"/>
    <w:lvl w:ilvl="0" w:tplc="C6EA8DB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3ABD131C"/>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2962BA6"/>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4B437F"/>
    <w:multiLevelType w:val="hybridMultilevel"/>
    <w:tmpl w:val="0ADACC0E"/>
    <w:lvl w:ilvl="0" w:tplc="6E0C1E8A">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15:restartNumberingAfterBreak="0">
    <w:nsid w:val="59851842"/>
    <w:multiLevelType w:val="hybridMultilevel"/>
    <w:tmpl w:val="36C8023E"/>
    <w:lvl w:ilvl="0" w:tplc="00AC14B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5BBA32EF"/>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E3B4750"/>
    <w:multiLevelType w:val="hybridMultilevel"/>
    <w:tmpl w:val="F918C90A"/>
    <w:lvl w:ilvl="0" w:tplc="9420FB56">
      <w:start w:val="4"/>
      <w:numFmt w:val="decimal"/>
      <w:lvlText w:val="%1."/>
      <w:lvlJc w:val="left"/>
      <w:pPr>
        <w:ind w:left="177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500806"/>
    <w:multiLevelType w:val="multilevel"/>
    <w:tmpl w:val="CB52C1B8"/>
    <w:lvl w:ilvl="0">
      <w:start w:val="1"/>
      <w:numFmt w:val="decimal"/>
      <w:lvlText w:val="%1"/>
      <w:lvlJc w:val="left"/>
      <w:pPr>
        <w:ind w:left="427" w:hanging="360"/>
      </w:pPr>
      <w:rPr>
        <w:rFonts w:hint="default"/>
        <w:lang w:val="id" w:eastAsia="en-US" w:bidi="ar-SA"/>
      </w:rPr>
    </w:lvl>
    <w:lvl w:ilvl="1">
      <w:start w:val="1"/>
      <w:numFmt w:val="decimal"/>
      <w:lvlText w:val="%1.%2"/>
      <w:lvlJc w:val="left"/>
      <w:pPr>
        <w:ind w:left="2345" w:hanging="360"/>
      </w:pPr>
      <w:rPr>
        <w:rFonts w:ascii="Liberation Serif" w:eastAsia="Liberation Serif" w:hAnsi="Liberation Serif" w:cs="Liberation Serif" w:hint="default"/>
        <w:b/>
        <w:bCs/>
        <w:i w:val="0"/>
        <w:iCs w:val="0"/>
        <w:spacing w:val="0"/>
        <w:w w:val="100"/>
        <w:sz w:val="24"/>
        <w:szCs w:val="24"/>
        <w:lang w:val="id" w:eastAsia="en-US" w:bidi="ar-SA"/>
      </w:rPr>
    </w:lvl>
    <w:lvl w:ilvl="2">
      <w:start w:val="1"/>
      <w:numFmt w:val="decimal"/>
      <w:lvlText w:val="%1.%2.%3"/>
      <w:lvlJc w:val="left"/>
      <w:pPr>
        <w:ind w:left="602" w:hanging="536"/>
      </w:pPr>
      <w:rPr>
        <w:rFonts w:ascii="Liberation Serif" w:eastAsia="Liberation Serif" w:hAnsi="Liberation Serif" w:cs="Liberation Serif" w:hint="default"/>
        <w:b/>
        <w:bCs/>
        <w:i w:val="0"/>
        <w:iCs w:val="0"/>
        <w:spacing w:val="0"/>
        <w:w w:val="100"/>
        <w:sz w:val="24"/>
        <w:szCs w:val="24"/>
        <w:lang w:val="id" w:eastAsia="en-US" w:bidi="ar-SA"/>
      </w:rPr>
    </w:lvl>
    <w:lvl w:ilvl="3">
      <w:start w:val="1"/>
      <w:numFmt w:val="decimal"/>
      <w:lvlText w:val="%1.%2.%3.%4"/>
      <w:lvlJc w:val="left"/>
      <w:pPr>
        <w:ind w:left="787" w:hanging="720"/>
      </w:pPr>
      <w:rPr>
        <w:rFonts w:ascii="Liberation Serif" w:eastAsia="Liberation Serif" w:hAnsi="Liberation Serif" w:cs="Liberation Serif" w:hint="default"/>
        <w:b/>
        <w:bCs/>
        <w:i w:val="0"/>
        <w:iCs w:val="0"/>
        <w:spacing w:val="0"/>
        <w:w w:val="100"/>
        <w:sz w:val="24"/>
        <w:szCs w:val="24"/>
        <w:lang w:val="id" w:eastAsia="en-US" w:bidi="ar-SA"/>
      </w:rPr>
    </w:lvl>
    <w:lvl w:ilvl="4">
      <w:start w:val="1"/>
      <w:numFmt w:val="decimal"/>
      <w:lvlText w:val="%5."/>
      <w:lvlJc w:val="left"/>
      <w:pPr>
        <w:ind w:left="1200" w:hanging="240"/>
      </w:pPr>
      <w:rPr>
        <w:rFonts w:ascii="Times New Roman" w:eastAsia="Liberation Serif" w:hAnsi="Times New Roman" w:cs="Times New Roman" w:hint="default"/>
        <w:b/>
        <w:bCs/>
        <w:i w:val="0"/>
        <w:iCs w:val="0"/>
        <w:spacing w:val="0"/>
        <w:w w:val="100"/>
        <w:sz w:val="24"/>
        <w:szCs w:val="24"/>
        <w:lang w:val="id" w:eastAsia="en-US" w:bidi="ar-SA"/>
      </w:rPr>
    </w:lvl>
    <w:lvl w:ilvl="5">
      <w:numFmt w:val="bullet"/>
      <w:lvlText w:val="•"/>
      <w:lvlJc w:val="left"/>
      <w:pPr>
        <w:ind w:left="3614" w:hanging="240"/>
      </w:pPr>
      <w:rPr>
        <w:rFonts w:hint="default"/>
        <w:lang w:val="id" w:eastAsia="en-US" w:bidi="ar-SA"/>
      </w:rPr>
    </w:lvl>
    <w:lvl w:ilvl="6">
      <w:numFmt w:val="bullet"/>
      <w:lvlText w:val="•"/>
      <w:lvlJc w:val="left"/>
      <w:pPr>
        <w:ind w:left="4822" w:hanging="240"/>
      </w:pPr>
      <w:rPr>
        <w:rFonts w:hint="default"/>
        <w:lang w:val="id" w:eastAsia="en-US" w:bidi="ar-SA"/>
      </w:rPr>
    </w:lvl>
    <w:lvl w:ilvl="7">
      <w:numFmt w:val="bullet"/>
      <w:lvlText w:val="•"/>
      <w:lvlJc w:val="left"/>
      <w:pPr>
        <w:ind w:left="6029" w:hanging="240"/>
      </w:pPr>
      <w:rPr>
        <w:rFonts w:hint="default"/>
        <w:lang w:val="id" w:eastAsia="en-US" w:bidi="ar-SA"/>
      </w:rPr>
    </w:lvl>
    <w:lvl w:ilvl="8">
      <w:numFmt w:val="bullet"/>
      <w:lvlText w:val="•"/>
      <w:lvlJc w:val="left"/>
      <w:pPr>
        <w:ind w:left="7237" w:hanging="240"/>
      </w:pPr>
      <w:rPr>
        <w:rFonts w:hint="default"/>
        <w:lang w:val="id" w:eastAsia="en-US" w:bidi="ar-SA"/>
      </w:rPr>
    </w:lvl>
  </w:abstractNum>
  <w:abstractNum w:abstractNumId="22" w15:restartNumberingAfterBreak="0">
    <w:nsid w:val="64137311"/>
    <w:multiLevelType w:val="hybridMultilevel"/>
    <w:tmpl w:val="7CD43DA6"/>
    <w:lvl w:ilvl="0" w:tplc="9E9AE1D6">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56179F8"/>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8316222"/>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BE27A3D"/>
    <w:multiLevelType w:val="hybridMultilevel"/>
    <w:tmpl w:val="17ACA98A"/>
    <w:lvl w:ilvl="0" w:tplc="1A74572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 w15:restartNumberingAfterBreak="0">
    <w:nsid w:val="6EB733C3"/>
    <w:multiLevelType w:val="hybridMultilevel"/>
    <w:tmpl w:val="05C6B874"/>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40E7D01"/>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4CF7490"/>
    <w:multiLevelType w:val="hybridMultilevel"/>
    <w:tmpl w:val="B54CD48E"/>
    <w:lvl w:ilvl="0" w:tplc="D8F84D7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29" w15:restartNumberingAfterBreak="0">
    <w:nsid w:val="75C5576C"/>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CA507A3"/>
    <w:multiLevelType w:val="multilevel"/>
    <w:tmpl w:val="8526A07E"/>
    <w:lvl w:ilvl="0">
      <w:start w:val="2"/>
      <w:numFmt w:val="decimal"/>
      <w:lvlText w:val="%1"/>
      <w:lvlJc w:val="left"/>
      <w:pPr>
        <w:ind w:left="937" w:hanging="360"/>
      </w:pPr>
      <w:rPr>
        <w:rFonts w:hint="default"/>
        <w:lang w:val="id" w:eastAsia="en-US" w:bidi="ar-SA"/>
      </w:rPr>
    </w:lvl>
    <w:lvl w:ilvl="1">
      <w:start w:val="1"/>
      <w:numFmt w:val="decimal"/>
      <w:lvlText w:val="%1.%2"/>
      <w:lvlJc w:val="left"/>
      <w:pPr>
        <w:ind w:left="937" w:hanging="360"/>
      </w:pPr>
      <w:rPr>
        <w:rFonts w:ascii="Times New Roman" w:eastAsia="Liberation Serif" w:hAnsi="Times New Roman" w:cs="Times New Roman" w:hint="default"/>
        <w:b/>
        <w:bCs/>
        <w:i w:val="0"/>
        <w:iCs w:val="0"/>
        <w:spacing w:val="0"/>
        <w:w w:val="100"/>
        <w:sz w:val="24"/>
        <w:szCs w:val="24"/>
        <w:lang w:val="id" w:eastAsia="en-US" w:bidi="ar-SA"/>
      </w:rPr>
    </w:lvl>
    <w:lvl w:ilvl="2">
      <w:start w:val="1"/>
      <w:numFmt w:val="decimal"/>
      <w:lvlText w:val="%1.%2.%3"/>
      <w:lvlJc w:val="left"/>
      <w:pPr>
        <w:ind w:left="1113" w:hanging="536"/>
      </w:pPr>
      <w:rPr>
        <w:rFonts w:ascii="Liberation Serif" w:eastAsia="Liberation Serif" w:hAnsi="Liberation Serif" w:cs="Liberation Serif" w:hint="default"/>
        <w:b/>
        <w:bCs/>
        <w:i w:val="0"/>
        <w:iCs w:val="0"/>
        <w:spacing w:val="0"/>
        <w:w w:val="100"/>
        <w:sz w:val="24"/>
        <w:szCs w:val="24"/>
        <w:lang w:val="id" w:eastAsia="en-US" w:bidi="ar-SA"/>
      </w:rPr>
    </w:lvl>
    <w:lvl w:ilvl="3">
      <w:numFmt w:val="bullet"/>
      <w:lvlText w:val="•"/>
      <w:lvlJc w:val="left"/>
      <w:pPr>
        <w:ind w:left="2795" w:hanging="536"/>
      </w:pPr>
      <w:rPr>
        <w:rFonts w:hint="default"/>
        <w:lang w:val="id" w:eastAsia="en-US" w:bidi="ar-SA"/>
      </w:rPr>
    </w:lvl>
    <w:lvl w:ilvl="4">
      <w:numFmt w:val="bullet"/>
      <w:lvlText w:val="•"/>
      <w:lvlJc w:val="left"/>
      <w:pPr>
        <w:ind w:left="3633" w:hanging="536"/>
      </w:pPr>
      <w:rPr>
        <w:rFonts w:hint="default"/>
        <w:lang w:val="id" w:eastAsia="en-US" w:bidi="ar-SA"/>
      </w:rPr>
    </w:lvl>
    <w:lvl w:ilvl="5">
      <w:numFmt w:val="bullet"/>
      <w:lvlText w:val="•"/>
      <w:lvlJc w:val="left"/>
      <w:pPr>
        <w:ind w:left="4470" w:hanging="536"/>
      </w:pPr>
      <w:rPr>
        <w:rFonts w:hint="default"/>
        <w:lang w:val="id" w:eastAsia="en-US" w:bidi="ar-SA"/>
      </w:rPr>
    </w:lvl>
    <w:lvl w:ilvl="6">
      <w:numFmt w:val="bullet"/>
      <w:lvlText w:val="•"/>
      <w:lvlJc w:val="left"/>
      <w:pPr>
        <w:ind w:left="5308" w:hanging="536"/>
      </w:pPr>
      <w:rPr>
        <w:rFonts w:hint="default"/>
        <w:lang w:val="id" w:eastAsia="en-US" w:bidi="ar-SA"/>
      </w:rPr>
    </w:lvl>
    <w:lvl w:ilvl="7">
      <w:numFmt w:val="bullet"/>
      <w:lvlText w:val="•"/>
      <w:lvlJc w:val="left"/>
      <w:pPr>
        <w:ind w:left="6146" w:hanging="536"/>
      </w:pPr>
      <w:rPr>
        <w:rFonts w:hint="default"/>
        <w:lang w:val="id" w:eastAsia="en-US" w:bidi="ar-SA"/>
      </w:rPr>
    </w:lvl>
    <w:lvl w:ilvl="8">
      <w:numFmt w:val="bullet"/>
      <w:lvlText w:val="•"/>
      <w:lvlJc w:val="left"/>
      <w:pPr>
        <w:ind w:left="6983" w:hanging="536"/>
      </w:pPr>
      <w:rPr>
        <w:rFonts w:hint="default"/>
        <w:lang w:val="id" w:eastAsia="en-US" w:bidi="ar-SA"/>
      </w:rPr>
    </w:lvl>
  </w:abstractNum>
  <w:abstractNum w:abstractNumId="31" w15:restartNumberingAfterBreak="0">
    <w:nsid w:val="7E5441D9"/>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EC23D61"/>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7ED2125E"/>
    <w:multiLevelType w:val="hybridMultilevel"/>
    <w:tmpl w:val="75A48E50"/>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7F802FD9"/>
    <w:multiLevelType w:val="hybridMultilevel"/>
    <w:tmpl w:val="BC127DD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1"/>
  </w:num>
  <w:num w:numId="2">
    <w:abstractNumId w:val="13"/>
  </w:num>
  <w:num w:numId="3">
    <w:abstractNumId w:val="28"/>
  </w:num>
  <w:num w:numId="4">
    <w:abstractNumId w:val="30"/>
  </w:num>
  <w:num w:numId="5">
    <w:abstractNumId w:val="18"/>
  </w:num>
  <w:num w:numId="6">
    <w:abstractNumId w:val="25"/>
  </w:num>
  <w:num w:numId="7">
    <w:abstractNumId w:val="17"/>
  </w:num>
  <w:num w:numId="8">
    <w:abstractNumId w:val="0"/>
  </w:num>
  <w:num w:numId="9">
    <w:abstractNumId w:val="10"/>
  </w:num>
  <w:num w:numId="10">
    <w:abstractNumId w:val="26"/>
  </w:num>
  <w:num w:numId="11">
    <w:abstractNumId w:val="8"/>
  </w:num>
  <w:num w:numId="12">
    <w:abstractNumId w:val="20"/>
  </w:num>
  <w:num w:numId="13">
    <w:abstractNumId w:val="22"/>
  </w:num>
  <w:num w:numId="14">
    <w:abstractNumId w:val="12"/>
  </w:num>
  <w:num w:numId="15">
    <w:abstractNumId w:val="15"/>
  </w:num>
  <w:num w:numId="16">
    <w:abstractNumId w:val="24"/>
  </w:num>
  <w:num w:numId="17">
    <w:abstractNumId w:val="7"/>
  </w:num>
  <w:num w:numId="18">
    <w:abstractNumId w:val="31"/>
  </w:num>
  <w:num w:numId="19">
    <w:abstractNumId w:val="19"/>
  </w:num>
  <w:num w:numId="20">
    <w:abstractNumId w:val="9"/>
  </w:num>
  <w:num w:numId="21">
    <w:abstractNumId w:val="5"/>
  </w:num>
  <w:num w:numId="22">
    <w:abstractNumId w:val="16"/>
  </w:num>
  <w:num w:numId="23">
    <w:abstractNumId w:val="23"/>
  </w:num>
  <w:num w:numId="24">
    <w:abstractNumId w:val="29"/>
  </w:num>
  <w:num w:numId="25">
    <w:abstractNumId w:val="11"/>
  </w:num>
  <w:num w:numId="26">
    <w:abstractNumId w:val="27"/>
  </w:num>
  <w:num w:numId="27">
    <w:abstractNumId w:val="2"/>
  </w:num>
  <w:num w:numId="28">
    <w:abstractNumId w:val="33"/>
  </w:num>
  <w:num w:numId="29">
    <w:abstractNumId w:val="4"/>
  </w:num>
  <w:num w:numId="30">
    <w:abstractNumId w:val="1"/>
  </w:num>
  <w:num w:numId="31">
    <w:abstractNumId w:val="32"/>
  </w:num>
  <w:num w:numId="32">
    <w:abstractNumId w:val="3"/>
  </w:num>
  <w:num w:numId="33">
    <w:abstractNumId w:val="6"/>
  </w:num>
  <w:num w:numId="34">
    <w:abstractNumId w:val="34"/>
  </w:num>
  <w:num w:numId="35">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53"/>
    <w:rsid w:val="000139F4"/>
    <w:rsid w:val="000206FD"/>
    <w:rsid w:val="000261AA"/>
    <w:rsid w:val="00030D4C"/>
    <w:rsid w:val="0003229A"/>
    <w:rsid w:val="00035E46"/>
    <w:rsid w:val="00041C39"/>
    <w:rsid w:val="000461B1"/>
    <w:rsid w:val="0005083E"/>
    <w:rsid w:val="0005365C"/>
    <w:rsid w:val="00053817"/>
    <w:rsid w:val="00056C26"/>
    <w:rsid w:val="000629AB"/>
    <w:rsid w:val="00066137"/>
    <w:rsid w:val="00072EF3"/>
    <w:rsid w:val="00077335"/>
    <w:rsid w:val="00083E74"/>
    <w:rsid w:val="00091DCF"/>
    <w:rsid w:val="000958BA"/>
    <w:rsid w:val="00096F78"/>
    <w:rsid w:val="00097511"/>
    <w:rsid w:val="00097A0F"/>
    <w:rsid w:val="000A13B6"/>
    <w:rsid w:val="000B09A1"/>
    <w:rsid w:val="000B10A4"/>
    <w:rsid w:val="000B12BA"/>
    <w:rsid w:val="000B2909"/>
    <w:rsid w:val="000B54C2"/>
    <w:rsid w:val="000C099D"/>
    <w:rsid w:val="000C1130"/>
    <w:rsid w:val="000C7B8F"/>
    <w:rsid w:val="000E7721"/>
    <w:rsid w:val="000F1A7D"/>
    <w:rsid w:val="00102B93"/>
    <w:rsid w:val="00103A99"/>
    <w:rsid w:val="0010536E"/>
    <w:rsid w:val="00107399"/>
    <w:rsid w:val="00130FD8"/>
    <w:rsid w:val="00137B5F"/>
    <w:rsid w:val="001421EA"/>
    <w:rsid w:val="00145D08"/>
    <w:rsid w:val="00147E75"/>
    <w:rsid w:val="0015032A"/>
    <w:rsid w:val="00156B59"/>
    <w:rsid w:val="00163A09"/>
    <w:rsid w:val="00164247"/>
    <w:rsid w:val="001803C6"/>
    <w:rsid w:val="001844B7"/>
    <w:rsid w:val="001A7310"/>
    <w:rsid w:val="001A7AF2"/>
    <w:rsid w:val="001B0594"/>
    <w:rsid w:val="001B3A1B"/>
    <w:rsid w:val="001C1D51"/>
    <w:rsid w:val="001D2493"/>
    <w:rsid w:val="001D6E46"/>
    <w:rsid w:val="001E3C87"/>
    <w:rsid w:val="001E78FB"/>
    <w:rsid w:val="001F19D0"/>
    <w:rsid w:val="001F530A"/>
    <w:rsid w:val="001F6BA3"/>
    <w:rsid w:val="00203B8E"/>
    <w:rsid w:val="002145A0"/>
    <w:rsid w:val="0022580B"/>
    <w:rsid w:val="00225B9F"/>
    <w:rsid w:val="00233F6F"/>
    <w:rsid w:val="00241DC4"/>
    <w:rsid w:val="00244899"/>
    <w:rsid w:val="00250697"/>
    <w:rsid w:val="002525B5"/>
    <w:rsid w:val="002845A0"/>
    <w:rsid w:val="00290D46"/>
    <w:rsid w:val="002A0026"/>
    <w:rsid w:val="002B0AC2"/>
    <w:rsid w:val="002B4353"/>
    <w:rsid w:val="002D5CEF"/>
    <w:rsid w:val="002E1B28"/>
    <w:rsid w:val="003004D5"/>
    <w:rsid w:val="003005A0"/>
    <w:rsid w:val="00305541"/>
    <w:rsid w:val="003060DE"/>
    <w:rsid w:val="00307F0A"/>
    <w:rsid w:val="003142F3"/>
    <w:rsid w:val="003317D5"/>
    <w:rsid w:val="00332E7B"/>
    <w:rsid w:val="00346396"/>
    <w:rsid w:val="00353363"/>
    <w:rsid w:val="0035767A"/>
    <w:rsid w:val="00360273"/>
    <w:rsid w:val="00361802"/>
    <w:rsid w:val="00361E55"/>
    <w:rsid w:val="00365CA0"/>
    <w:rsid w:val="00371D47"/>
    <w:rsid w:val="00372C64"/>
    <w:rsid w:val="003759E4"/>
    <w:rsid w:val="00383280"/>
    <w:rsid w:val="00386499"/>
    <w:rsid w:val="003A5BC5"/>
    <w:rsid w:val="003A6760"/>
    <w:rsid w:val="003A7A9E"/>
    <w:rsid w:val="003B7036"/>
    <w:rsid w:val="003C2364"/>
    <w:rsid w:val="003C3F4C"/>
    <w:rsid w:val="003D2AF0"/>
    <w:rsid w:val="003D50C6"/>
    <w:rsid w:val="003D5FCA"/>
    <w:rsid w:val="003E07F1"/>
    <w:rsid w:val="003E5786"/>
    <w:rsid w:val="003F007C"/>
    <w:rsid w:val="003F53B8"/>
    <w:rsid w:val="00403139"/>
    <w:rsid w:val="004063DB"/>
    <w:rsid w:val="0041550A"/>
    <w:rsid w:val="00421E00"/>
    <w:rsid w:val="004226A7"/>
    <w:rsid w:val="00423CF0"/>
    <w:rsid w:val="00426711"/>
    <w:rsid w:val="004348F7"/>
    <w:rsid w:val="0043788E"/>
    <w:rsid w:val="00445180"/>
    <w:rsid w:val="0044690D"/>
    <w:rsid w:val="00457314"/>
    <w:rsid w:val="00461626"/>
    <w:rsid w:val="0046336C"/>
    <w:rsid w:val="00474FC4"/>
    <w:rsid w:val="00482B6C"/>
    <w:rsid w:val="0048359B"/>
    <w:rsid w:val="00494901"/>
    <w:rsid w:val="004A089D"/>
    <w:rsid w:val="004A2F46"/>
    <w:rsid w:val="004B3819"/>
    <w:rsid w:val="004B6522"/>
    <w:rsid w:val="004B6F29"/>
    <w:rsid w:val="004C01F5"/>
    <w:rsid w:val="004C0CC4"/>
    <w:rsid w:val="004C1CD0"/>
    <w:rsid w:val="004C219C"/>
    <w:rsid w:val="004C36A9"/>
    <w:rsid w:val="004C4CD3"/>
    <w:rsid w:val="004D102B"/>
    <w:rsid w:val="004D161E"/>
    <w:rsid w:val="004D3357"/>
    <w:rsid w:val="004E0C14"/>
    <w:rsid w:val="004E1876"/>
    <w:rsid w:val="004E49D0"/>
    <w:rsid w:val="004E651A"/>
    <w:rsid w:val="004E69E9"/>
    <w:rsid w:val="004F45B7"/>
    <w:rsid w:val="004F64A9"/>
    <w:rsid w:val="00510120"/>
    <w:rsid w:val="005127B1"/>
    <w:rsid w:val="0051409E"/>
    <w:rsid w:val="00517B6B"/>
    <w:rsid w:val="005223B7"/>
    <w:rsid w:val="0052356D"/>
    <w:rsid w:val="0054213C"/>
    <w:rsid w:val="00544532"/>
    <w:rsid w:val="0054750F"/>
    <w:rsid w:val="00556613"/>
    <w:rsid w:val="00561B5D"/>
    <w:rsid w:val="00574741"/>
    <w:rsid w:val="00575801"/>
    <w:rsid w:val="00580191"/>
    <w:rsid w:val="00581DBD"/>
    <w:rsid w:val="00586B4E"/>
    <w:rsid w:val="00587A72"/>
    <w:rsid w:val="00595A4B"/>
    <w:rsid w:val="00595EB2"/>
    <w:rsid w:val="005A6499"/>
    <w:rsid w:val="005B26AB"/>
    <w:rsid w:val="005C3A76"/>
    <w:rsid w:val="005C457A"/>
    <w:rsid w:val="005C7E8C"/>
    <w:rsid w:val="005D0316"/>
    <w:rsid w:val="005D0F1F"/>
    <w:rsid w:val="005D4AED"/>
    <w:rsid w:val="005E53AD"/>
    <w:rsid w:val="005F0BE4"/>
    <w:rsid w:val="00605666"/>
    <w:rsid w:val="00605B8A"/>
    <w:rsid w:val="00614EC9"/>
    <w:rsid w:val="00617295"/>
    <w:rsid w:val="00626239"/>
    <w:rsid w:val="0062746F"/>
    <w:rsid w:val="006324D2"/>
    <w:rsid w:val="00634E8B"/>
    <w:rsid w:val="006377BC"/>
    <w:rsid w:val="0064142F"/>
    <w:rsid w:val="006441D1"/>
    <w:rsid w:val="006443E9"/>
    <w:rsid w:val="006564CA"/>
    <w:rsid w:val="00665A0E"/>
    <w:rsid w:val="006718EB"/>
    <w:rsid w:val="0067295D"/>
    <w:rsid w:val="00676BBB"/>
    <w:rsid w:val="006820D7"/>
    <w:rsid w:val="006858BD"/>
    <w:rsid w:val="006905F3"/>
    <w:rsid w:val="00694B2E"/>
    <w:rsid w:val="006977D4"/>
    <w:rsid w:val="006A1391"/>
    <w:rsid w:val="006B0292"/>
    <w:rsid w:val="006C4F37"/>
    <w:rsid w:val="006C57D4"/>
    <w:rsid w:val="006C641D"/>
    <w:rsid w:val="006C7390"/>
    <w:rsid w:val="006D50D4"/>
    <w:rsid w:val="006F3FCC"/>
    <w:rsid w:val="006F531F"/>
    <w:rsid w:val="006F675C"/>
    <w:rsid w:val="00701770"/>
    <w:rsid w:val="00702853"/>
    <w:rsid w:val="007109F5"/>
    <w:rsid w:val="00715614"/>
    <w:rsid w:val="00720881"/>
    <w:rsid w:val="00721CDA"/>
    <w:rsid w:val="00725F76"/>
    <w:rsid w:val="00742928"/>
    <w:rsid w:val="00752559"/>
    <w:rsid w:val="00770C6E"/>
    <w:rsid w:val="00781B7B"/>
    <w:rsid w:val="007A01E5"/>
    <w:rsid w:val="007B5C9A"/>
    <w:rsid w:val="007B6C8D"/>
    <w:rsid w:val="007E6677"/>
    <w:rsid w:val="00803CF5"/>
    <w:rsid w:val="008060C0"/>
    <w:rsid w:val="008060C8"/>
    <w:rsid w:val="00807062"/>
    <w:rsid w:val="0081063B"/>
    <w:rsid w:val="008172D1"/>
    <w:rsid w:val="00823967"/>
    <w:rsid w:val="00851E57"/>
    <w:rsid w:val="00853AE1"/>
    <w:rsid w:val="008542A8"/>
    <w:rsid w:val="00862D5A"/>
    <w:rsid w:val="00874089"/>
    <w:rsid w:val="00875AA4"/>
    <w:rsid w:val="0088260E"/>
    <w:rsid w:val="0088741A"/>
    <w:rsid w:val="008927A8"/>
    <w:rsid w:val="008B2642"/>
    <w:rsid w:val="008B2D4D"/>
    <w:rsid w:val="008C00A6"/>
    <w:rsid w:val="008C40B1"/>
    <w:rsid w:val="008D2005"/>
    <w:rsid w:val="008D3743"/>
    <w:rsid w:val="008D46BB"/>
    <w:rsid w:val="008D5C8C"/>
    <w:rsid w:val="008D65C8"/>
    <w:rsid w:val="008E3BC9"/>
    <w:rsid w:val="008E3DB2"/>
    <w:rsid w:val="008F4036"/>
    <w:rsid w:val="008F4140"/>
    <w:rsid w:val="008F519E"/>
    <w:rsid w:val="008F7AD8"/>
    <w:rsid w:val="00902032"/>
    <w:rsid w:val="00905709"/>
    <w:rsid w:val="0092342B"/>
    <w:rsid w:val="0092473A"/>
    <w:rsid w:val="00926652"/>
    <w:rsid w:val="00931CE3"/>
    <w:rsid w:val="00942C33"/>
    <w:rsid w:val="009445F8"/>
    <w:rsid w:val="009514CD"/>
    <w:rsid w:val="00955442"/>
    <w:rsid w:val="00960191"/>
    <w:rsid w:val="00960AAF"/>
    <w:rsid w:val="009656FA"/>
    <w:rsid w:val="00965CE1"/>
    <w:rsid w:val="009719DC"/>
    <w:rsid w:val="0097343C"/>
    <w:rsid w:val="00982B37"/>
    <w:rsid w:val="00991E60"/>
    <w:rsid w:val="00993910"/>
    <w:rsid w:val="00995925"/>
    <w:rsid w:val="009A06E1"/>
    <w:rsid w:val="009B382D"/>
    <w:rsid w:val="009B42EF"/>
    <w:rsid w:val="009B437A"/>
    <w:rsid w:val="009B5FAE"/>
    <w:rsid w:val="009C0D6E"/>
    <w:rsid w:val="009C3A99"/>
    <w:rsid w:val="009C4D16"/>
    <w:rsid w:val="009C5A28"/>
    <w:rsid w:val="009C5C44"/>
    <w:rsid w:val="009C6B00"/>
    <w:rsid w:val="009E4105"/>
    <w:rsid w:val="009E4F97"/>
    <w:rsid w:val="00A035CE"/>
    <w:rsid w:val="00A036B4"/>
    <w:rsid w:val="00A1107A"/>
    <w:rsid w:val="00A14DBD"/>
    <w:rsid w:val="00A23974"/>
    <w:rsid w:val="00A3221D"/>
    <w:rsid w:val="00A332B9"/>
    <w:rsid w:val="00A37558"/>
    <w:rsid w:val="00A40DC4"/>
    <w:rsid w:val="00A44E24"/>
    <w:rsid w:val="00A50018"/>
    <w:rsid w:val="00A57270"/>
    <w:rsid w:val="00A576A4"/>
    <w:rsid w:val="00A65B95"/>
    <w:rsid w:val="00A73B4A"/>
    <w:rsid w:val="00A75E0B"/>
    <w:rsid w:val="00A86C4D"/>
    <w:rsid w:val="00A9206B"/>
    <w:rsid w:val="00A92C0A"/>
    <w:rsid w:val="00AA31AB"/>
    <w:rsid w:val="00AB156D"/>
    <w:rsid w:val="00AB3A83"/>
    <w:rsid w:val="00AB57ED"/>
    <w:rsid w:val="00AC0562"/>
    <w:rsid w:val="00AD3DE4"/>
    <w:rsid w:val="00AD3F39"/>
    <w:rsid w:val="00AD5298"/>
    <w:rsid w:val="00AD627E"/>
    <w:rsid w:val="00AE428E"/>
    <w:rsid w:val="00AE6B17"/>
    <w:rsid w:val="00AE6C72"/>
    <w:rsid w:val="00AE7CF2"/>
    <w:rsid w:val="00AF0E02"/>
    <w:rsid w:val="00AF4DC4"/>
    <w:rsid w:val="00B02D2E"/>
    <w:rsid w:val="00B046F4"/>
    <w:rsid w:val="00B0576E"/>
    <w:rsid w:val="00B10D3A"/>
    <w:rsid w:val="00B206BF"/>
    <w:rsid w:val="00B260BF"/>
    <w:rsid w:val="00B35986"/>
    <w:rsid w:val="00B3607F"/>
    <w:rsid w:val="00B56B37"/>
    <w:rsid w:val="00B57F7F"/>
    <w:rsid w:val="00B70A14"/>
    <w:rsid w:val="00B7119E"/>
    <w:rsid w:val="00B80EF3"/>
    <w:rsid w:val="00B92407"/>
    <w:rsid w:val="00B938D5"/>
    <w:rsid w:val="00B9521A"/>
    <w:rsid w:val="00BA2964"/>
    <w:rsid w:val="00BA3CCC"/>
    <w:rsid w:val="00BA626E"/>
    <w:rsid w:val="00BB030A"/>
    <w:rsid w:val="00BB0B0A"/>
    <w:rsid w:val="00BB16BE"/>
    <w:rsid w:val="00BB5ED1"/>
    <w:rsid w:val="00BB75BF"/>
    <w:rsid w:val="00BD4DFD"/>
    <w:rsid w:val="00BD568E"/>
    <w:rsid w:val="00BD7455"/>
    <w:rsid w:val="00BE6C89"/>
    <w:rsid w:val="00BF4B30"/>
    <w:rsid w:val="00BF7675"/>
    <w:rsid w:val="00C014B5"/>
    <w:rsid w:val="00C01D0A"/>
    <w:rsid w:val="00C1086A"/>
    <w:rsid w:val="00C15965"/>
    <w:rsid w:val="00C20860"/>
    <w:rsid w:val="00C2157E"/>
    <w:rsid w:val="00C2566F"/>
    <w:rsid w:val="00C30BA2"/>
    <w:rsid w:val="00C31B70"/>
    <w:rsid w:val="00C34908"/>
    <w:rsid w:val="00C42DC4"/>
    <w:rsid w:val="00C525D8"/>
    <w:rsid w:val="00C553EE"/>
    <w:rsid w:val="00C55DF1"/>
    <w:rsid w:val="00C55F0D"/>
    <w:rsid w:val="00C56BF5"/>
    <w:rsid w:val="00C621A5"/>
    <w:rsid w:val="00C631E0"/>
    <w:rsid w:val="00C74074"/>
    <w:rsid w:val="00C83A9F"/>
    <w:rsid w:val="00C91F11"/>
    <w:rsid w:val="00C92470"/>
    <w:rsid w:val="00C957B0"/>
    <w:rsid w:val="00CA42D7"/>
    <w:rsid w:val="00CB0546"/>
    <w:rsid w:val="00CB1D0F"/>
    <w:rsid w:val="00CC4FEC"/>
    <w:rsid w:val="00CD18F2"/>
    <w:rsid w:val="00CD5BEC"/>
    <w:rsid w:val="00CE194E"/>
    <w:rsid w:val="00CF2E6C"/>
    <w:rsid w:val="00CF42D0"/>
    <w:rsid w:val="00CF7D71"/>
    <w:rsid w:val="00D0199F"/>
    <w:rsid w:val="00D037F8"/>
    <w:rsid w:val="00D04F95"/>
    <w:rsid w:val="00D06D9B"/>
    <w:rsid w:val="00D11672"/>
    <w:rsid w:val="00D1299A"/>
    <w:rsid w:val="00D166A0"/>
    <w:rsid w:val="00D2675B"/>
    <w:rsid w:val="00D30BC0"/>
    <w:rsid w:val="00D41B63"/>
    <w:rsid w:val="00D4371A"/>
    <w:rsid w:val="00D56855"/>
    <w:rsid w:val="00D56FDF"/>
    <w:rsid w:val="00D612EA"/>
    <w:rsid w:val="00D66702"/>
    <w:rsid w:val="00D714A5"/>
    <w:rsid w:val="00D71776"/>
    <w:rsid w:val="00D75900"/>
    <w:rsid w:val="00D80050"/>
    <w:rsid w:val="00D81901"/>
    <w:rsid w:val="00D81C2F"/>
    <w:rsid w:val="00D83D92"/>
    <w:rsid w:val="00D90B7B"/>
    <w:rsid w:val="00DA1E57"/>
    <w:rsid w:val="00DA2F93"/>
    <w:rsid w:val="00DA7D3A"/>
    <w:rsid w:val="00DB0B40"/>
    <w:rsid w:val="00DB12B6"/>
    <w:rsid w:val="00DB1EA3"/>
    <w:rsid w:val="00DB5FD3"/>
    <w:rsid w:val="00DC1F93"/>
    <w:rsid w:val="00DC2A58"/>
    <w:rsid w:val="00DD3945"/>
    <w:rsid w:val="00DD463A"/>
    <w:rsid w:val="00DD5721"/>
    <w:rsid w:val="00DE05CF"/>
    <w:rsid w:val="00DE0773"/>
    <w:rsid w:val="00DE129A"/>
    <w:rsid w:val="00DE1864"/>
    <w:rsid w:val="00DE373E"/>
    <w:rsid w:val="00E01776"/>
    <w:rsid w:val="00E031CB"/>
    <w:rsid w:val="00E16C8E"/>
    <w:rsid w:val="00E25D82"/>
    <w:rsid w:val="00E27BC6"/>
    <w:rsid w:val="00E30904"/>
    <w:rsid w:val="00E43D08"/>
    <w:rsid w:val="00E461CC"/>
    <w:rsid w:val="00E47F7C"/>
    <w:rsid w:val="00E51D40"/>
    <w:rsid w:val="00E56B75"/>
    <w:rsid w:val="00E654C3"/>
    <w:rsid w:val="00E7457F"/>
    <w:rsid w:val="00E7547F"/>
    <w:rsid w:val="00E77567"/>
    <w:rsid w:val="00E82C1E"/>
    <w:rsid w:val="00E90394"/>
    <w:rsid w:val="00EB60D8"/>
    <w:rsid w:val="00EC0BE7"/>
    <w:rsid w:val="00EC2E49"/>
    <w:rsid w:val="00ED07BF"/>
    <w:rsid w:val="00ED0A0C"/>
    <w:rsid w:val="00ED3408"/>
    <w:rsid w:val="00ED421E"/>
    <w:rsid w:val="00EE2528"/>
    <w:rsid w:val="00EE3BC3"/>
    <w:rsid w:val="00F07182"/>
    <w:rsid w:val="00F13A53"/>
    <w:rsid w:val="00F14AD8"/>
    <w:rsid w:val="00F15533"/>
    <w:rsid w:val="00F20BD5"/>
    <w:rsid w:val="00F23966"/>
    <w:rsid w:val="00F27D02"/>
    <w:rsid w:val="00F31942"/>
    <w:rsid w:val="00F34AFA"/>
    <w:rsid w:val="00F40187"/>
    <w:rsid w:val="00F50BEB"/>
    <w:rsid w:val="00F5594A"/>
    <w:rsid w:val="00F67147"/>
    <w:rsid w:val="00F71612"/>
    <w:rsid w:val="00F946EA"/>
    <w:rsid w:val="00F96DE3"/>
    <w:rsid w:val="00F97C5B"/>
    <w:rsid w:val="00FA1C74"/>
    <w:rsid w:val="00FB4B54"/>
    <w:rsid w:val="00FB4D6A"/>
    <w:rsid w:val="00FB4FC9"/>
    <w:rsid w:val="00FC65B7"/>
    <w:rsid w:val="00FD0314"/>
    <w:rsid w:val="00FD0C29"/>
    <w:rsid w:val="00FD3E1F"/>
    <w:rsid w:val="00FD7D3C"/>
    <w:rsid w:val="00FE131C"/>
    <w:rsid w:val="00FE60FC"/>
    <w:rsid w:val="00FF1B44"/>
    <w:rsid w:val="00FF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E5B5E"/>
  <w15:docId w15:val="{4E4CD6C5-2EB7-4F7F-B241-65C3A8E6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C8C"/>
    <w:pPr>
      <w:spacing w:line="480" w:lineRule="auto"/>
      <w:jc w:val="both"/>
    </w:pPr>
    <w:rPr>
      <w:rFonts w:ascii="Times New Roman" w:eastAsia="Liberation Serif" w:hAnsi="Times New Roman" w:cs="Liberation Serif"/>
      <w:sz w:val="24"/>
      <w:lang w:val="id"/>
    </w:rPr>
  </w:style>
  <w:style w:type="paragraph" w:styleId="Heading1">
    <w:name w:val="heading 1"/>
    <w:basedOn w:val="Normal"/>
    <w:link w:val="Heading1Char"/>
    <w:uiPriority w:val="9"/>
    <w:qFormat/>
    <w:rsid w:val="00203B8E"/>
    <w:pPr>
      <w:spacing w:before="1"/>
      <w:ind w:left="333" w:right="324"/>
      <w:outlineLvl w:val="0"/>
    </w:pPr>
    <w:rPr>
      <w:b/>
      <w:bCs/>
      <w:sz w:val="28"/>
      <w:szCs w:val="28"/>
    </w:rPr>
  </w:style>
  <w:style w:type="paragraph" w:styleId="Heading2">
    <w:name w:val="heading 2"/>
    <w:basedOn w:val="Normal"/>
    <w:uiPriority w:val="9"/>
    <w:unhideWhenUsed/>
    <w:qFormat/>
    <w:pPr>
      <w:ind w:left="426" w:hanging="360"/>
      <w:outlineLvl w:val="1"/>
    </w:pPr>
    <w:rPr>
      <w:b/>
      <w:bCs/>
      <w:szCs w:val="24"/>
    </w:rPr>
  </w:style>
  <w:style w:type="paragraph" w:styleId="Heading3">
    <w:name w:val="heading 3"/>
    <w:basedOn w:val="Normal"/>
    <w:next w:val="Normal"/>
    <w:link w:val="Heading3Char"/>
    <w:uiPriority w:val="9"/>
    <w:unhideWhenUsed/>
    <w:qFormat/>
    <w:rsid w:val="00A1107A"/>
    <w:pPr>
      <w:keepNext/>
      <w:keepLines/>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A1107A"/>
    <w:pPr>
      <w:keepNext/>
      <w:keepLines/>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AA31AB"/>
    <w:pPr>
      <w:keepNext/>
      <w:keepLines/>
      <w:spacing w:before="4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6" w:right="58"/>
    </w:pPr>
    <w:rPr>
      <w:szCs w:val="24"/>
    </w:rPr>
  </w:style>
  <w:style w:type="paragraph" w:styleId="ListParagraph">
    <w:name w:val="List Paragraph"/>
    <w:basedOn w:val="Normal"/>
    <w:uiPriority w:val="34"/>
    <w:qFormat/>
    <w:pPr>
      <w:ind w:left="1200" w:right="58" w:hanging="240"/>
    </w:pPr>
  </w:style>
  <w:style w:type="paragraph" w:customStyle="1" w:styleId="TableParagraph">
    <w:name w:val="Table Paragraph"/>
    <w:basedOn w:val="Normal"/>
    <w:uiPriority w:val="1"/>
    <w:qFormat/>
    <w:pPr>
      <w:spacing w:before="79"/>
      <w:ind w:left="12"/>
      <w:jc w:val="center"/>
    </w:pPr>
  </w:style>
  <w:style w:type="paragraph" w:styleId="NormalWeb">
    <w:name w:val="Normal (Web)"/>
    <w:basedOn w:val="Normal"/>
    <w:uiPriority w:val="99"/>
    <w:unhideWhenUsed/>
    <w:rsid w:val="000C1130"/>
    <w:pPr>
      <w:widowControl/>
      <w:autoSpaceDE/>
      <w:autoSpaceDN/>
      <w:ind w:firstLine="720"/>
    </w:pPr>
    <w:rPr>
      <w:rFonts w:eastAsiaTheme="minorEastAsia" w:cs="Times New Roman"/>
      <w:szCs w:val="24"/>
      <w:lang w:val="en-US"/>
    </w:rPr>
  </w:style>
  <w:style w:type="paragraph" w:customStyle="1" w:styleId="table-source">
    <w:name w:val="table-source"/>
    <w:basedOn w:val="Normal"/>
    <w:rsid w:val="000C1130"/>
    <w:pPr>
      <w:widowControl/>
      <w:autoSpaceDE/>
      <w:autoSpaceDN/>
      <w:spacing w:after="360"/>
      <w:jc w:val="center"/>
    </w:pPr>
    <w:rPr>
      <w:rFonts w:eastAsiaTheme="minorEastAsia" w:cs="Times New Roman"/>
      <w:i/>
      <w:iCs/>
      <w:sz w:val="20"/>
      <w:szCs w:val="20"/>
      <w:lang w:val="en-US"/>
    </w:rPr>
  </w:style>
  <w:style w:type="table" w:styleId="TableGrid">
    <w:name w:val="Table Grid"/>
    <w:basedOn w:val="TableNormal"/>
    <w:uiPriority w:val="39"/>
    <w:rsid w:val="000C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E6677"/>
    <w:rPr>
      <w:i/>
      <w:iCs/>
    </w:rPr>
  </w:style>
  <w:style w:type="character" w:styleId="Hyperlink">
    <w:name w:val="Hyperlink"/>
    <w:basedOn w:val="DefaultParagraphFont"/>
    <w:uiPriority w:val="99"/>
    <w:unhideWhenUsed/>
    <w:rsid w:val="007E6677"/>
    <w:rPr>
      <w:color w:val="0000FF"/>
      <w:u w:val="single"/>
    </w:rPr>
  </w:style>
  <w:style w:type="paragraph" w:styleId="Title">
    <w:name w:val="Title"/>
    <w:basedOn w:val="Normal"/>
    <w:link w:val="TitleChar"/>
    <w:uiPriority w:val="10"/>
    <w:qFormat/>
    <w:rsid w:val="00E25D82"/>
    <w:pPr>
      <w:ind w:left="3129" w:right="2438" w:firstLine="984"/>
    </w:pPr>
    <w:rPr>
      <w:b/>
      <w:bCs/>
      <w:sz w:val="28"/>
      <w:szCs w:val="28"/>
    </w:rPr>
  </w:style>
  <w:style w:type="character" w:customStyle="1" w:styleId="TitleChar">
    <w:name w:val="Title Char"/>
    <w:basedOn w:val="DefaultParagraphFont"/>
    <w:link w:val="Title"/>
    <w:uiPriority w:val="10"/>
    <w:rsid w:val="00E25D82"/>
    <w:rPr>
      <w:rFonts w:ascii="Liberation Serif" w:eastAsia="Liberation Serif" w:hAnsi="Liberation Serif" w:cs="Liberation Serif"/>
      <w:b/>
      <w:bCs/>
      <w:sz w:val="28"/>
      <w:szCs w:val="28"/>
      <w:lang w:val="id"/>
    </w:rPr>
  </w:style>
  <w:style w:type="character" w:customStyle="1" w:styleId="BodyTextChar">
    <w:name w:val="Body Text Char"/>
    <w:basedOn w:val="DefaultParagraphFont"/>
    <w:link w:val="BodyText"/>
    <w:uiPriority w:val="1"/>
    <w:rsid w:val="00F5594A"/>
    <w:rPr>
      <w:rFonts w:ascii="Liberation Serif" w:eastAsia="Liberation Serif" w:hAnsi="Liberation Serif" w:cs="Liberation Serif"/>
      <w:sz w:val="24"/>
      <w:szCs w:val="24"/>
      <w:lang w:val="id"/>
    </w:rPr>
  </w:style>
  <w:style w:type="character" w:styleId="CommentReference">
    <w:name w:val="annotation reference"/>
    <w:basedOn w:val="DefaultParagraphFont"/>
    <w:uiPriority w:val="99"/>
    <w:semiHidden/>
    <w:unhideWhenUsed/>
    <w:rsid w:val="009E4105"/>
    <w:rPr>
      <w:sz w:val="16"/>
      <w:szCs w:val="16"/>
    </w:rPr>
  </w:style>
  <w:style w:type="paragraph" w:styleId="CommentText">
    <w:name w:val="annotation text"/>
    <w:basedOn w:val="Normal"/>
    <w:link w:val="CommentTextChar"/>
    <w:uiPriority w:val="99"/>
    <w:semiHidden/>
    <w:unhideWhenUsed/>
    <w:rsid w:val="009E4105"/>
    <w:rPr>
      <w:sz w:val="20"/>
      <w:szCs w:val="20"/>
    </w:rPr>
  </w:style>
  <w:style w:type="character" w:customStyle="1" w:styleId="CommentTextChar">
    <w:name w:val="Comment Text Char"/>
    <w:basedOn w:val="DefaultParagraphFont"/>
    <w:link w:val="CommentText"/>
    <w:uiPriority w:val="99"/>
    <w:semiHidden/>
    <w:rsid w:val="009E4105"/>
    <w:rPr>
      <w:rFonts w:ascii="Liberation Serif" w:eastAsia="Liberation Serif" w:hAnsi="Liberation Serif" w:cs="Liberation Serif"/>
      <w:sz w:val="20"/>
      <w:szCs w:val="20"/>
      <w:lang w:val="id"/>
    </w:rPr>
  </w:style>
  <w:style w:type="paragraph" w:styleId="CommentSubject">
    <w:name w:val="annotation subject"/>
    <w:basedOn w:val="CommentText"/>
    <w:next w:val="CommentText"/>
    <w:link w:val="CommentSubjectChar"/>
    <w:uiPriority w:val="99"/>
    <w:semiHidden/>
    <w:unhideWhenUsed/>
    <w:rsid w:val="009E4105"/>
    <w:rPr>
      <w:b/>
      <w:bCs/>
    </w:rPr>
  </w:style>
  <w:style w:type="character" w:customStyle="1" w:styleId="CommentSubjectChar">
    <w:name w:val="Comment Subject Char"/>
    <w:basedOn w:val="CommentTextChar"/>
    <w:link w:val="CommentSubject"/>
    <w:uiPriority w:val="99"/>
    <w:semiHidden/>
    <w:rsid w:val="009E4105"/>
    <w:rPr>
      <w:rFonts w:ascii="Liberation Serif" w:eastAsia="Liberation Serif" w:hAnsi="Liberation Serif" w:cs="Liberation Serif"/>
      <w:b/>
      <w:bCs/>
      <w:sz w:val="20"/>
      <w:szCs w:val="20"/>
      <w:lang w:val="id"/>
    </w:rPr>
  </w:style>
  <w:style w:type="character" w:customStyle="1" w:styleId="Heading1Char">
    <w:name w:val="Heading 1 Char"/>
    <w:basedOn w:val="DefaultParagraphFont"/>
    <w:link w:val="Heading1"/>
    <w:uiPriority w:val="9"/>
    <w:rsid w:val="00203B8E"/>
    <w:rPr>
      <w:rFonts w:ascii="Times New Roman" w:eastAsia="Liberation Serif" w:hAnsi="Times New Roman" w:cs="Liberation Serif"/>
      <w:b/>
      <w:bCs/>
      <w:sz w:val="28"/>
      <w:szCs w:val="28"/>
      <w:lang w:val="id"/>
    </w:rPr>
  </w:style>
  <w:style w:type="character" w:styleId="PlaceholderText">
    <w:name w:val="Placeholder Text"/>
    <w:basedOn w:val="DefaultParagraphFont"/>
    <w:uiPriority w:val="99"/>
    <w:semiHidden/>
    <w:rsid w:val="00CD5BEC"/>
    <w:rPr>
      <w:color w:val="808080"/>
    </w:rPr>
  </w:style>
  <w:style w:type="paragraph" w:customStyle="1" w:styleId="msonormal0">
    <w:name w:val="msonormal"/>
    <w:basedOn w:val="Normal"/>
    <w:rsid w:val="000B12BA"/>
    <w:pPr>
      <w:widowControl/>
      <w:autoSpaceDE/>
      <w:autoSpaceDN/>
      <w:spacing w:before="100" w:beforeAutospacing="1" w:after="100" w:afterAutospacing="1"/>
    </w:pPr>
    <w:rPr>
      <w:rFonts w:eastAsiaTheme="minorEastAsia" w:cs="Times New Roman"/>
      <w:szCs w:val="24"/>
      <w:lang w:val="en-ID" w:eastAsia="en-ID"/>
    </w:rPr>
  </w:style>
  <w:style w:type="paragraph" w:styleId="FootnoteText">
    <w:name w:val="footnote text"/>
    <w:basedOn w:val="Normal"/>
    <w:link w:val="FootnoteTextChar"/>
    <w:uiPriority w:val="99"/>
    <w:semiHidden/>
    <w:unhideWhenUsed/>
    <w:rsid w:val="00C83A9F"/>
    <w:rPr>
      <w:sz w:val="20"/>
      <w:szCs w:val="20"/>
    </w:rPr>
  </w:style>
  <w:style w:type="character" w:customStyle="1" w:styleId="FootnoteTextChar">
    <w:name w:val="Footnote Text Char"/>
    <w:basedOn w:val="DefaultParagraphFont"/>
    <w:link w:val="FootnoteText"/>
    <w:uiPriority w:val="99"/>
    <w:semiHidden/>
    <w:rsid w:val="00C83A9F"/>
    <w:rPr>
      <w:rFonts w:ascii="Liberation Serif" w:eastAsia="Liberation Serif" w:hAnsi="Liberation Serif" w:cs="Liberation Serif"/>
      <w:sz w:val="20"/>
      <w:szCs w:val="20"/>
      <w:lang w:val="id"/>
    </w:rPr>
  </w:style>
  <w:style w:type="character" w:styleId="FootnoteReference">
    <w:name w:val="footnote reference"/>
    <w:basedOn w:val="DefaultParagraphFont"/>
    <w:uiPriority w:val="99"/>
    <w:semiHidden/>
    <w:unhideWhenUsed/>
    <w:rsid w:val="00C83A9F"/>
    <w:rPr>
      <w:vertAlign w:val="superscript"/>
    </w:rPr>
  </w:style>
  <w:style w:type="paragraph" w:styleId="Caption">
    <w:name w:val="caption"/>
    <w:basedOn w:val="Normal"/>
    <w:next w:val="Normal"/>
    <w:uiPriority w:val="35"/>
    <w:unhideWhenUsed/>
    <w:qFormat/>
    <w:rsid w:val="00AF4DC4"/>
    <w:pPr>
      <w:spacing w:after="200"/>
    </w:pPr>
    <w:rPr>
      <w:i/>
      <w:iCs/>
      <w:color w:val="1F497D" w:themeColor="text2"/>
      <w:sz w:val="18"/>
      <w:szCs w:val="18"/>
    </w:rPr>
  </w:style>
  <w:style w:type="character" w:customStyle="1" w:styleId="Heading3Char">
    <w:name w:val="Heading 3 Char"/>
    <w:basedOn w:val="DefaultParagraphFont"/>
    <w:link w:val="Heading3"/>
    <w:uiPriority w:val="9"/>
    <w:rsid w:val="00A1107A"/>
    <w:rPr>
      <w:rFonts w:ascii="Times New Roman" w:eastAsiaTheme="majorEastAsia" w:hAnsi="Times New Roman" w:cstheme="majorBidi"/>
      <w:b/>
      <w:color w:val="000000" w:themeColor="text1"/>
      <w:sz w:val="24"/>
      <w:szCs w:val="24"/>
      <w:lang w:val="id"/>
    </w:rPr>
  </w:style>
  <w:style w:type="character" w:customStyle="1" w:styleId="Heading4Char">
    <w:name w:val="Heading 4 Char"/>
    <w:basedOn w:val="DefaultParagraphFont"/>
    <w:link w:val="Heading4"/>
    <w:uiPriority w:val="9"/>
    <w:rsid w:val="00A1107A"/>
    <w:rPr>
      <w:rFonts w:ascii="Times New Roman" w:eastAsiaTheme="majorEastAsia" w:hAnsi="Times New Roman" w:cstheme="majorBidi"/>
      <w:b/>
      <w:iCs/>
      <w:color w:val="000000" w:themeColor="text1"/>
      <w:sz w:val="24"/>
      <w:lang w:val="id"/>
    </w:rPr>
  </w:style>
  <w:style w:type="paragraph" w:styleId="Footer">
    <w:name w:val="footer"/>
    <w:basedOn w:val="Normal"/>
    <w:link w:val="FooterChar"/>
    <w:uiPriority w:val="99"/>
    <w:unhideWhenUsed/>
    <w:rsid w:val="00203B8E"/>
    <w:pPr>
      <w:widowControl/>
      <w:tabs>
        <w:tab w:val="center" w:pos="4513"/>
        <w:tab w:val="right" w:pos="9026"/>
      </w:tabs>
      <w:autoSpaceDE/>
      <w:autoSpaceDN/>
      <w:spacing w:line="240" w:lineRule="auto"/>
    </w:pPr>
    <w:rPr>
      <w:rFonts w:eastAsiaTheme="minorHAnsi" w:cstheme="minorBidi"/>
      <w:noProof/>
      <w:lang w:val="id-ID"/>
    </w:rPr>
  </w:style>
  <w:style w:type="character" w:customStyle="1" w:styleId="FooterChar">
    <w:name w:val="Footer Char"/>
    <w:basedOn w:val="DefaultParagraphFont"/>
    <w:link w:val="Footer"/>
    <w:uiPriority w:val="99"/>
    <w:rsid w:val="00203B8E"/>
    <w:rPr>
      <w:rFonts w:ascii="Times New Roman" w:hAnsi="Times New Roman"/>
      <w:noProof/>
      <w:sz w:val="24"/>
      <w:lang w:val="id-ID"/>
    </w:rPr>
  </w:style>
  <w:style w:type="character" w:customStyle="1" w:styleId="Heading5Char">
    <w:name w:val="Heading 5 Char"/>
    <w:basedOn w:val="DefaultParagraphFont"/>
    <w:link w:val="Heading5"/>
    <w:uiPriority w:val="9"/>
    <w:rsid w:val="00AA31AB"/>
    <w:rPr>
      <w:rFonts w:ascii="Times New Roman" w:eastAsiaTheme="majorEastAsia" w:hAnsi="Times New Roman" w:cstheme="majorBidi"/>
      <w:color w:val="000000" w:themeColor="text1"/>
      <w:sz w:val="24"/>
      <w:lang w:val="id"/>
    </w:rPr>
  </w:style>
  <w:style w:type="paragraph" w:styleId="Header">
    <w:name w:val="header"/>
    <w:basedOn w:val="Normal"/>
    <w:link w:val="HeaderChar"/>
    <w:uiPriority w:val="99"/>
    <w:unhideWhenUsed/>
    <w:rsid w:val="003759E4"/>
    <w:pPr>
      <w:tabs>
        <w:tab w:val="center" w:pos="4513"/>
        <w:tab w:val="right" w:pos="9026"/>
      </w:tabs>
      <w:spacing w:line="240" w:lineRule="auto"/>
    </w:pPr>
  </w:style>
  <w:style w:type="character" w:customStyle="1" w:styleId="HeaderChar">
    <w:name w:val="Header Char"/>
    <w:basedOn w:val="DefaultParagraphFont"/>
    <w:link w:val="Header"/>
    <w:uiPriority w:val="99"/>
    <w:rsid w:val="003759E4"/>
    <w:rPr>
      <w:rFonts w:ascii="Times New Roman" w:eastAsia="Liberation Serif" w:hAnsi="Times New Roman" w:cs="Liberation Serif"/>
      <w:sz w:val="24"/>
      <w:lang w:val="id"/>
    </w:rPr>
  </w:style>
  <w:style w:type="paragraph" w:styleId="TOCHeading">
    <w:name w:val="TOC Heading"/>
    <w:basedOn w:val="Heading1"/>
    <w:next w:val="Normal"/>
    <w:uiPriority w:val="39"/>
    <w:unhideWhenUsed/>
    <w:qFormat/>
    <w:rsid w:val="009C5C44"/>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80191"/>
    <w:pPr>
      <w:tabs>
        <w:tab w:val="right" w:leader="dot" w:pos="7941"/>
      </w:tabs>
      <w:spacing w:after="100"/>
    </w:pPr>
    <w:rPr>
      <w:b/>
      <w:bCs/>
      <w:noProof/>
      <w:lang w:val="en-US"/>
    </w:rPr>
  </w:style>
  <w:style w:type="paragraph" w:styleId="TOC2">
    <w:name w:val="toc 2"/>
    <w:basedOn w:val="Normal"/>
    <w:next w:val="Normal"/>
    <w:autoRedefine/>
    <w:uiPriority w:val="39"/>
    <w:unhideWhenUsed/>
    <w:rsid w:val="009C5C44"/>
    <w:pPr>
      <w:spacing w:after="100"/>
      <w:ind w:left="240"/>
    </w:pPr>
  </w:style>
  <w:style w:type="paragraph" w:styleId="TOC3">
    <w:name w:val="toc 3"/>
    <w:basedOn w:val="Normal"/>
    <w:next w:val="Normal"/>
    <w:autoRedefine/>
    <w:uiPriority w:val="39"/>
    <w:unhideWhenUsed/>
    <w:rsid w:val="009C5C44"/>
    <w:pPr>
      <w:spacing w:after="100"/>
      <w:ind w:left="480"/>
    </w:pPr>
  </w:style>
  <w:style w:type="paragraph" w:styleId="TableofFigures">
    <w:name w:val="table of figures"/>
    <w:basedOn w:val="Normal"/>
    <w:next w:val="Normal"/>
    <w:uiPriority w:val="99"/>
    <w:unhideWhenUsed/>
    <w:rsid w:val="009C5C44"/>
  </w:style>
  <w:style w:type="table" w:customStyle="1" w:styleId="TableGrid1">
    <w:name w:val="Table Grid1"/>
    <w:basedOn w:val="TableNormal"/>
    <w:next w:val="TableGrid"/>
    <w:uiPriority w:val="39"/>
    <w:rsid w:val="00A1107A"/>
    <w:pPr>
      <w:widowControl/>
      <w:autoSpaceDE/>
      <w:autoSpaceDN/>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580191"/>
    <w:pPr>
      <w:widowControl/>
      <w:autoSpaceDE/>
      <w:autoSpaceDN/>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580191"/>
    <w:pPr>
      <w:widowControl/>
      <w:autoSpaceDE/>
      <w:autoSpaceDN/>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580191"/>
    <w:pPr>
      <w:widowControl/>
      <w:autoSpaceDE/>
      <w:autoSpaceDN/>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580191"/>
    <w:pPr>
      <w:widowControl/>
      <w:autoSpaceDE/>
      <w:autoSpaceDN/>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580191"/>
    <w:pPr>
      <w:widowControl/>
      <w:autoSpaceDE/>
      <w:autoSpaceDN/>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580191"/>
    <w:pPr>
      <w:widowControl/>
      <w:autoSpaceDE/>
      <w:autoSpaceDN/>
      <w:spacing w:after="100" w:line="259" w:lineRule="auto"/>
      <w:ind w:left="1760"/>
      <w:jc w:val="left"/>
    </w:pPr>
    <w:rPr>
      <w:rFonts w:asciiTheme="minorHAnsi" w:eastAsiaTheme="minorEastAsia" w:hAnsiTheme="minorHAnsi" w:cstheme="minorBidi"/>
      <w:sz w:val="22"/>
      <w:lang w:val="en-ID" w:eastAsia="en-ID"/>
    </w:rPr>
  </w:style>
  <w:style w:type="character" w:styleId="UnresolvedMention">
    <w:name w:val="Unresolved Mention"/>
    <w:basedOn w:val="DefaultParagraphFont"/>
    <w:uiPriority w:val="99"/>
    <w:semiHidden/>
    <w:unhideWhenUsed/>
    <w:rsid w:val="0058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4002">
      <w:bodyDiv w:val="1"/>
      <w:marLeft w:val="0"/>
      <w:marRight w:val="0"/>
      <w:marTop w:val="0"/>
      <w:marBottom w:val="0"/>
      <w:divBdr>
        <w:top w:val="none" w:sz="0" w:space="0" w:color="auto"/>
        <w:left w:val="none" w:sz="0" w:space="0" w:color="auto"/>
        <w:bottom w:val="none" w:sz="0" w:space="0" w:color="auto"/>
        <w:right w:val="none" w:sz="0" w:space="0" w:color="auto"/>
      </w:divBdr>
    </w:div>
    <w:div w:id="290524821">
      <w:bodyDiv w:val="1"/>
      <w:marLeft w:val="0"/>
      <w:marRight w:val="0"/>
      <w:marTop w:val="0"/>
      <w:marBottom w:val="0"/>
      <w:divBdr>
        <w:top w:val="none" w:sz="0" w:space="0" w:color="auto"/>
        <w:left w:val="none" w:sz="0" w:space="0" w:color="auto"/>
        <w:bottom w:val="none" w:sz="0" w:space="0" w:color="auto"/>
        <w:right w:val="none" w:sz="0" w:space="0" w:color="auto"/>
      </w:divBdr>
    </w:div>
    <w:div w:id="377827021">
      <w:bodyDiv w:val="1"/>
      <w:marLeft w:val="0"/>
      <w:marRight w:val="0"/>
      <w:marTop w:val="0"/>
      <w:marBottom w:val="0"/>
      <w:divBdr>
        <w:top w:val="none" w:sz="0" w:space="0" w:color="auto"/>
        <w:left w:val="none" w:sz="0" w:space="0" w:color="auto"/>
        <w:bottom w:val="none" w:sz="0" w:space="0" w:color="auto"/>
        <w:right w:val="none" w:sz="0" w:space="0" w:color="auto"/>
      </w:divBdr>
    </w:div>
    <w:div w:id="737167031">
      <w:bodyDiv w:val="1"/>
      <w:marLeft w:val="0"/>
      <w:marRight w:val="0"/>
      <w:marTop w:val="0"/>
      <w:marBottom w:val="0"/>
      <w:divBdr>
        <w:top w:val="none" w:sz="0" w:space="0" w:color="auto"/>
        <w:left w:val="none" w:sz="0" w:space="0" w:color="auto"/>
        <w:bottom w:val="none" w:sz="0" w:space="0" w:color="auto"/>
        <w:right w:val="none" w:sz="0" w:space="0" w:color="auto"/>
      </w:divBdr>
    </w:div>
    <w:div w:id="812142540">
      <w:bodyDiv w:val="1"/>
      <w:marLeft w:val="0"/>
      <w:marRight w:val="0"/>
      <w:marTop w:val="0"/>
      <w:marBottom w:val="0"/>
      <w:divBdr>
        <w:top w:val="none" w:sz="0" w:space="0" w:color="auto"/>
        <w:left w:val="none" w:sz="0" w:space="0" w:color="auto"/>
        <w:bottom w:val="none" w:sz="0" w:space="0" w:color="auto"/>
        <w:right w:val="none" w:sz="0" w:space="0" w:color="auto"/>
      </w:divBdr>
    </w:div>
    <w:div w:id="1117024891">
      <w:bodyDiv w:val="1"/>
      <w:marLeft w:val="0"/>
      <w:marRight w:val="0"/>
      <w:marTop w:val="0"/>
      <w:marBottom w:val="0"/>
      <w:divBdr>
        <w:top w:val="none" w:sz="0" w:space="0" w:color="auto"/>
        <w:left w:val="none" w:sz="0" w:space="0" w:color="auto"/>
        <w:bottom w:val="none" w:sz="0" w:space="0" w:color="auto"/>
        <w:right w:val="none" w:sz="0" w:space="0" w:color="auto"/>
      </w:divBdr>
    </w:div>
    <w:div w:id="1146824938">
      <w:bodyDiv w:val="1"/>
      <w:marLeft w:val="0"/>
      <w:marRight w:val="0"/>
      <w:marTop w:val="0"/>
      <w:marBottom w:val="0"/>
      <w:divBdr>
        <w:top w:val="none" w:sz="0" w:space="0" w:color="auto"/>
        <w:left w:val="none" w:sz="0" w:space="0" w:color="auto"/>
        <w:bottom w:val="none" w:sz="0" w:space="0" w:color="auto"/>
        <w:right w:val="none" w:sz="0" w:space="0" w:color="auto"/>
      </w:divBdr>
    </w:div>
    <w:div w:id="1416318495">
      <w:bodyDiv w:val="1"/>
      <w:marLeft w:val="0"/>
      <w:marRight w:val="0"/>
      <w:marTop w:val="0"/>
      <w:marBottom w:val="0"/>
      <w:divBdr>
        <w:top w:val="none" w:sz="0" w:space="0" w:color="auto"/>
        <w:left w:val="none" w:sz="0" w:space="0" w:color="auto"/>
        <w:bottom w:val="none" w:sz="0" w:space="0" w:color="auto"/>
        <w:right w:val="none" w:sz="0" w:space="0" w:color="auto"/>
      </w:divBdr>
    </w:div>
    <w:div w:id="1445729332">
      <w:bodyDiv w:val="1"/>
      <w:marLeft w:val="0"/>
      <w:marRight w:val="0"/>
      <w:marTop w:val="0"/>
      <w:marBottom w:val="0"/>
      <w:divBdr>
        <w:top w:val="none" w:sz="0" w:space="0" w:color="auto"/>
        <w:left w:val="none" w:sz="0" w:space="0" w:color="auto"/>
        <w:bottom w:val="none" w:sz="0" w:space="0" w:color="auto"/>
        <w:right w:val="none" w:sz="0" w:space="0" w:color="auto"/>
      </w:divBdr>
    </w:div>
    <w:div w:id="1460755756">
      <w:bodyDiv w:val="1"/>
      <w:marLeft w:val="0"/>
      <w:marRight w:val="0"/>
      <w:marTop w:val="0"/>
      <w:marBottom w:val="0"/>
      <w:divBdr>
        <w:top w:val="none" w:sz="0" w:space="0" w:color="auto"/>
        <w:left w:val="none" w:sz="0" w:space="0" w:color="auto"/>
        <w:bottom w:val="none" w:sz="0" w:space="0" w:color="auto"/>
        <w:right w:val="none" w:sz="0" w:space="0" w:color="auto"/>
      </w:divBdr>
    </w:div>
    <w:div w:id="1470248388">
      <w:bodyDiv w:val="1"/>
      <w:marLeft w:val="0"/>
      <w:marRight w:val="0"/>
      <w:marTop w:val="0"/>
      <w:marBottom w:val="0"/>
      <w:divBdr>
        <w:top w:val="none" w:sz="0" w:space="0" w:color="auto"/>
        <w:left w:val="none" w:sz="0" w:space="0" w:color="auto"/>
        <w:bottom w:val="none" w:sz="0" w:space="0" w:color="auto"/>
        <w:right w:val="none" w:sz="0" w:space="0" w:color="auto"/>
      </w:divBdr>
      <w:divsChild>
        <w:div w:id="1013072769">
          <w:marLeft w:val="480"/>
          <w:marRight w:val="0"/>
          <w:marTop w:val="0"/>
          <w:marBottom w:val="0"/>
          <w:divBdr>
            <w:top w:val="none" w:sz="0" w:space="0" w:color="auto"/>
            <w:left w:val="none" w:sz="0" w:space="0" w:color="auto"/>
            <w:bottom w:val="none" w:sz="0" w:space="0" w:color="auto"/>
            <w:right w:val="none" w:sz="0" w:space="0" w:color="auto"/>
          </w:divBdr>
        </w:div>
      </w:divsChild>
    </w:div>
    <w:div w:id="1525704946">
      <w:bodyDiv w:val="1"/>
      <w:marLeft w:val="0"/>
      <w:marRight w:val="0"/>
      <w:marTop w:val="0"/>
      <w:marBottom w:val="0"/>
      <w:divBdr>
        <w:top w:val="none" w:sz="0" w:space="0" w:color="auto"/>
        <w:left w:val="none" w:sz="0" w:space="0" w:color="auto"/>
        <w:bottom w:val="none" w:sz="0" w:space="0" w:color="auto"/>
        <w:right w:val="none" w:sz="0" w:space="0" w:color="auto"/>
      </w:divBdr>
    </w:div>
    <w:div w:id="1604066314">
      <w:bodyDiv w:val="1"/>
      <w:marLeft w:val="0"/>
      <w:marRight w:val="0"/>
      <w:marTop w:val="0"/>
      <w:marBottom w:val="0"/>
      <w:divBdr>
        <w:top w:val="none" w:sz="0" w:space="0" w:color="auto"/>
        <w:left w:val="none" w:sz="0" w:space="0" w:color="auto"/>
        <w:bottom w:val="none" w:sz="0" w:space="0" w:color="auto"/>
        <w:right w:val="none" w:sz="0" w:space="0" w:color="auto"/>
      </w:divBdr>
    </w:div>
    <w:div w:id="1632127987">
      <w:bodyDiv w:val="1"/>
      <w:marLeft w:val="0"/>
      <w:marRight w:val="0"/>
      <w:marTop w:val="0"/>
      <w:marBottom w:val="0"/>
      <w:divBdr>
        <w:top w:val="none" w:sz="0" w:space="0" w:color="auto"/>
        <w:left w:val="none" w:sz="0" w:space="0" w:color="auto"/>
        <w:bottom w:val="none" w:sz="0" w:space="0" w:color="auto"/>
        <w:right w:val="none" w:sz="0" w:space="0" w:color="auto"/>
      </w:divBdr>
    </w:div>
    <w:div w:id="1696538259">
      <w:bodyDiv w:val="1"/>
      <w:marLeft w:val="0"/>
      <w:marRight w:val="0"/>
      <w:marTop w:val="0"/>
      <w:marBottom w:val="0"/>
      <w:divBdr>
        <w:top w:val="none" w:sz="0" w:space="0" w:color="auto"/>
        <w:left w:val="none" w:sz="0" w:space="0" w:color="auto"/>
        <w:bottom w:val="none" w:sz="0" w:space="0" w:color="auto"/>
        <w:right w:val="none" w:sz="0" w:space="0" w:color="auto"/>
      </w:divBdr>
    </w:div>
    <w:div w:id="1724212132">
      <w:bodyDiv w:val="1"/>
      <w:marLeft w:val="0"/>
      <w:marRight w:val="0"/>
      <w:marTop w:val="0"/>
      <w:marBottom w:val="0"/>
      <w:divBdr>
        <w:top w:val="none" w:sz="0" w:space="0" w:color="auto"/>
        <w:left w:val="none" w:sz="0" w:space="0" w:color="auto"/>
        <w:bottom w:val="none" w:sz="0" w:space="0" w:color="auto"/>
        <w:right w:val="none" w:sz="0" w:space="0" w:color="auto"/>
      </w:divBdr>
    </w:div>
    <w:div w:id="187514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1D3563-DEDA-46B7-AC44-A48A273F013D}">
  <we:reference id="wa104382081" version="1.55.1.0" store="en-US" storeType="OMEX"/>
  <we:alternateReferences>
    <we:reference id="WA104382081" version="1.55.1.0" store="" storeType="OMEX"/>
  </we:alternateReferences>
  <we:properties>
    <we:property name="MENDELEY_CITATIONS" value="[{&quot;citationID&quot;:&quot;MENDELEY_CITATION_42d78d09-97a0-46ae-b799-69fdbbfc8808&quot;,&quot;properties&quot;:{&quot;noteIndex&quot;:0},&quot;isEdited&quot;:false,&quot;manualOverride&quot;:{&quot;isManuallyOverridden&quot;:false,&quot;citeprocText&quot;:&quot;(Freeman et al., 2021)&quot;,&quot;manualOverrideText&quot;:&quot;&quot;},&quot;citationTag&quot;:&quot;MENDELEY_CITATION_v3_eyJjaXRhdGlvbklEIjoiTUVOREVMRVlfQ0lUQVRJT05fNDJkNzhkMDktOTdhMC00NmFlLWI3OTktNjlmZGJiZmM4ODA4IiwicHJvcGVydGllcyI6eyJub3RlSW5kZXgiOjB9LCJpc0VkaXRlZCI6ZmFsc2UsIm1hbnVhbE92ZXJyaWRlIjp7ImlzTWFudWFsbHlPdmVycmlkZGVuIjpmYWxzZSwiY2l0ZXByb2NUZXh0IjoiKEZyZWVtYW4gZXQgYWwuLCAyMDIxKSIsIm1hbnVhbE92ZXJyaWRlVGV4dCI6IiJ9LCJjaXRhdGlvbkl0ZW1zIjpbeyJpZCI6ImIzYTk0YWFjLTlmNTQtMzdmMS1hMTc5LThiZGZiMzRmODI4ZSIsIml0ZW1EYXRhIjp7InR5cGUiOiJhcnRpY2xlLWpvdXJuYWwiLCJpZCI6ImIzYTk0YWFjLTlmNTQtMzdmMS1hMTc5LThiZGZiMzRmODI4ZSIsInRpdGxlIjoiU3Rha2Vob2xkZXIgdGhlb3J5IGFuZCB0aGUgcmVzb3VyY2UtYmFzZWQgdmlldyBvZiB0aGUgZmlybS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4gTWFuYWdlLiIsIklTU04iOiIwMTQ5LTIwNjMiLCJpc3N1ZWQiOnsiZGF0ZS1wYXJ0cyI6W1syMDIxLDldXX0sInBhZ2UiOiIxNzU3LTE3NzAiLCJsYW5ndWFnZSI6IkVuZ2xpc2giLCJwdWJsaXNoZXIiOiJTQUdFIFB1YmxpY2F0aW9ucyBTYWdlIENBOiBMb3MgQW5nZWxlcywgQ0EiLCJpc3N1ZSI6IjciLCJ2b2x1bWUiOiI0NyJ9LCJpc1RlbXBvcmFyeSI6ZmFsc2V9XX0=&quot;,&quot;citationItems&quot;:[{&quot;id&quot;:&quot;b3a94aac-9f54-37f1-a179-8bdfb34f828e&quot;,&quot;itemData&quot;:{&quot;type&quot;:&quot;article-journal&quot;,&quot;id&quot;:&quot;b3a94aac-9f54-37f1-a179-8bdfb34f828e&quot;,&quot;title&quot;:&quot;Stakeholder theory and the resource-based view of the firm&quot;,&quot;author&quot;:[{&quot;family&quot;:&quot;Freeman&quot;,&quot;given&quot;:&quot;R Edward&quot;,&quot;parse-names&quot;:false,&quot;dropping-particle&quot;:&quot;&quot;,&quot;non-dropping-particle&quot;:&quot;&quot;},{&quot;family&quot;:&quot;Dmytriyev&quot;,&quot;given&quot;:&quot;Sergiy D&quot;,&quot;parse-names&quot;:false,&quot;dropping-particle&quot;:&quot;&quot;,&quot;non-dropping-particle&quot;:&quot;&quot;},{&quot;family&quot;:&quot;Phillips&quot;,&quot;given&quot;:&quot;Robert A&quot;,&quot;parse-names&quot;:false,&quot;dropping-particle&quot;:&quot;&quot;,&quot;non-dropping-particle&quot;:&quot;&quot;}],&quot;container-title&quot;:&quot;Journal of management&quot;,&quot;container-title-short&quot;:&quot;J. Manage.&quot;,&quot;ISSN&quot;:&quot;0149-2063&quot;,&quot;issued&quot;:{&quot;date-parts&quot;:[[2021,9]]},&quot;page&quot;:&quot;1757-1770&quot;,&quot;language&quot;:&quot;English&quot;,&quot;publisher&quot;:&quot;SAGE Publications Sage CA: Los Angeles, CA&quot;,&quot;issue&quot;:&quot;7&quot;,&quot;volume&quot;:&quot;47&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2040634938"/>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B24B-DABF-4109-9AF2-F56A86A1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3</Pages>
  <Words>6735</Words>
  <Characters>38393</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BAB I SKRIPSI - PENGARUH MANAGERIAL OWNERSHIP...</vt:lpstr>
    </vt:vector>
  </TitlesOfParts>
  <Company/>
  <LinksUpToDate>false</LinksUpToDate>
  <CharactersWithSpaces>45038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 SKRIPSI - PENGARUH MANAGERIAL OWNERSHIP...</dc:title>
  <dc:creator>FIO</dc:creator>
  <cp:lastModifiedBy>alifio sulaksono</cp:lastModifiedBy>
  <cp:revision>22</cp:revision>
  <cp:lastPrinted>2026-07-22T17:59:00Z</cp:lastPrinted>
  <dcterms:created xsi:type="dcterms:W3CDTF">2026-07-22T07:24:00Z</dcterms:created>
  <dcterms:modified xsi:type="dcterms:W3CDTF">2026-08-31T03:24:00Z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Mozilla/5.0 (X11; Linux x86_64) AppleWebKit/537.36 (KHTML, like Gecko) HeadlessChrome/147.0.0.0 Safari/537.36</vt:lpwstr>
  </property>
  <property fmtid="{D5CDD505-2E9C-101B-9397-08002B2CF9AE}" pid="5" name="LastSaved">
    <vt:filetime>2026-05-12T00:00:00Z</vt:filetime>
  </property>
  <property fmtid="{D5CDD505-2E9C-101B-9397-08002B2CF9AE}" pid="6" name="Producer">
    <vt:lpwstr>Skia/PDF m147</vt:lpwstr>
  </property>
  <property fmtid="{D5CDD505-2E9C-101B-9397-08002B2CF9AE}" pid="7" name="Mendeley Recent Style Id 0_1">
    <vt:lpwstr>http://www.zotero.org/styles/american-medical-association</vt:lpwstr>
  </property>
  <property fmtid="{D5CDD505-2E9C-101B-9397-08002B2CF9AE}" pid="8" name="Mendeley Recent Style Name 0_1">
    <vt:lpwstr>AMA Manual of Style 11th edition</vt:lpwstr>
  </property>
  <property fmtid="{D5CDD505-2E9C-101B-9397-08002B2CF9AE}" pid="9" name="Mendeley Recent Style Id 1_1">
    <vt:lpwstr>http://www.zotero.org/styles/apa</vt:lpwstr>
  </property>
  <property fmtid="{D5CDD505-2E9C-101B-9397-08002B2CF9AE}" pid="10" name="Mendeley Recent Style Name 1_1">
    <vt:lpwstr>APA Style 7th edition</vt:lpwstr>
  </property>
  <property fmtid="{D5CDD505-2E9C-101B-9397-08002B2CF9AE}" pid="11" name="Mendeley Recent Style Id 2_1">
    <vt:lpwstr>http://www.zotero.org/styles/american-political-science-association</vt:lpwstr>
  </property>
  <property fmtid="{D5CDD505-2E9C-101B-9397-08002B2CF9AE}" pid="12" name="Mendeley Recent Style Name 2_1">
    <vt:lpwstr>APSA Style Manual revised 2018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ASA Style Guide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18th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(author-date/Harvard)</vt:lpwstr>
  </property>
  <property fmtid="{D5CDD505-2E9C-101B-9397-08002B2CF9AE}" pid="19" name="Mendeley Recent Style Id 6_1">
    <vt:lpwstr>http://www.zotero.org/styles/ieee</vt:lpwstr>
  </property>
  <property fmtid="{D5CDD505-2E9C-101B-9397-08002B2CF9AE}" pid="20" name="Mendeley Recent Style Name 6_1">
    <vt:lpwstr>IEEE Reference Guide version 11.29.2023</vt:lpwstr>
  </property>
  <property fmtid="{D5CDD505-2E9C-101B-9397-08002B2CF9AE}" pid="21" name="Mendeley Recent Style Id 7_1">
    <vt:lpwstr>http://www.zotero.org/styles/modern-language-association</vt:lpwstr>
  </property>
  <property fmtid="{D5CDD505-2E9C-101B-9397-08002B2CF9AE}" pid="22" name="Mendeley Recent Style Name 7_1">
    <vt:lpwstr>MLA Handbook 9th edition (in-text citations)</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Citation Style_1">
    <vt:lpwstr>http://www.zotero.org/styles/apa</vt:lpwstr>
  </property>
  <property fmtid="{D5CDD505-2E9C-101B-9397-08002B2CF9AE}" pid="29" name="Mendeley Unique User Id_1">
    <vt:lpwstr>939fec86-319b-33f9-8e2a-3beff8e26467</vt:lpwstr>
  </property>
</Properties>
</file>