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8F8F1" w14:textId="77777777" w:rsidR="00C445AC" w:rsidRPr="00C445AC" w:rsidRDefault="00C445AC" w:rsidP="00C445AC">
      <w:pPr>
        <w:keepNext/>
        <w:keepLines/>
        <w:spacing w:after="0" w:line="480" w:lineRule="auto"/>
        <w:jc w:val="center"/>
        <w:outlineLvl w:val="0"/>
        <w:rPr>
          <w:rFonts w:ascii="Times New Roman" w:eastAsia="Times New Roman" w:hAnsi="Times New Roman" w:cstheme="majorBidi"/>
          <w:b/>
          <w:sz w:val="24"/>
          <w:szCs w:val="40"/>
          <w:lang w:val="en-ID"/>
        </w:rPr>
      </w:pPr>
      <w:bookmarkStart w:id="0" w:name="_Toc232030305"/>
      <w:r w:rsidRPr="00C445AC">
        <w:rPr>
          <w:rFonts w:ascii="Times New Roman" w:eastAsia="Times New Roman" w:hAnsi="Times New Roman" w:cstheme="majorBidi"/>
          <w:b/>
          <w:sz w:val="24"/>
          <w:szCs w:val="40"/>
          <w:lang w:val="en-ID"/>
        </w:rPr>
        <w:t>BAB I</w:t>
      </w:r>
      <w:r w:rsidRPr="00C445AC">
        <w:rPr>
          <w:rFonts w:ascii="Times New Roman" w:eastAsia="Times New Roman" w:hAnsi="Times New Roman" w:cstheme="majorBidi"/>
          <w:b/>
          <w:sz w:val="24"/>
          <w:szCs w:val="40"/>
        </w:rPr>
        <w:t xml:space="preserve"> </w:t>
      </w:r>
      <w:r w:rsidRPr="00C445AC">
        <w:rPr>
          <w:rFonts w:ascii="Times New Roman" w:eastAsia="Times New Roman" w:hAnsi="Times New Roman" w:cstheme="majorBidi"/>
          <w:b/>
          <w:sz w:val="24"/>
          <w:szCs w:val="40"/>
        </w:rPr>
        <w:br/>
      </w:r>
      <w:r w:rsidRPr="00C445AC">
        <w:rPr>
          <w:rFonts w:ascii="Times New Roman" w:eastAsia="Times New Roman" w:hAnsi="Times New Roman" w:cstheme="majorBidi"/>
          <w:b/>
          <w:sz w:val="24"/>
          <w:szCs w:val="40"/>
          <w:lang w:val="en-ID"/>
        </w:rPr>
        <w:t>PENDAHULUAN</w:t>
      </w:r>
      <w:bookmarkEnd w:id="0"/>
    </w:p>
    <w:p w14:paraId="0913324F" w14:textId="77777777" w:rsidR="00C445AC" w:rsidRPr="00C445AC" w:rsidRDefault="00C445AC" w:rsidP="00C445AC">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1" w:name="_Toc232030306"/>
      <w:r w:rsidRPr="00C445AC">
        <w:rPr>
          <w:rFonts w:ascii="Times New Roman" w:eastAsia="Times New Roman" w:hAnsi="Times New Roman" w:cstheme="majorBidi"/>
          <w:b/>
          <w:color w:val="000000" w:themeColor="text1"/>
          <w:sz w:val="24"/>
          <w:szCs w:val="26"/>
        </w:rPr>
        <w:t>1.1 Latar Belakang</w:t>
      </w:r>
      <w:bookmarkEnd w:id="1"/>
    </w:p>
    <w:p w14:paraId="407DC4CF"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Pada era globalisasi dan digitalisasi yang terjadi saat ini, sektor logistik memiliki peran vital terhadap keberlangsungan kegiatan ekonomi di seluruh dunia. Logistik tidak hanya terkait perpindahan barang saja, tetapi menjadi sistem terintegrasi yang harus memastikan bahwa produk yang tepat dengan jumlah yang tepat, tiba di tempat dan waktu yang tepat dengan biaya yang seminimal mungkin. Di dalam perkembangan teknologi yang menuntut segalanya harus serba cepat, sektor logistik khususnya pergudangan juga harus dapat menyesuaikan diri.</w:t>
      </w:r>
      <w:r w:rsidRPr="00C445AC">
        <w:rPr>
          <w:rFonts w:ascii="Times New Roman" w:hAnsi="Times New Roman"/>
          <w:sz w:val="24"/>
        </w:rPr>
        <w:t xml:space="preserve"> </w:t>
      </w:r>
      <w:r w:rsidRPr="00C445AC">
        <w:rPr>
          <w:rFonts w:ascii="Times New Roman" w:eastAsia="Times New Roman" w:hAnsi="Times New Roman" w:cs="Times New Roman"/>
          <w:spacing w:val="-2"/>
          <w:kern w:val="0"/>
          <w:sz w:val="24"/>
          <w:szCs w:val="24"/>
          <w14:ligatures w14:val="none"/>
        </w:rPr>
        <w:t xml:space="preserve">Menurut Richards (2018), gudang adalah fasilitas yang digunakan untuk menyimpan barang dalam jumlah besar dan memastikan kelancaran pergerakan barang dari pemasok ke pelanggan. Ia menekankan bahwa fungsi gudang tidak hanya bersifat operasional, tetapi juga strategis dalam meningkatkan efisiensi rantai pasok secara keseluruhan. </w:t>
      </w:r>
    </w:p>
    <w:p w14:paraId="33F4174F" w14:textId="77777777" w:rsidR="00C445AC" w:rsidRPr="00C445AC" w:rsidRDefault="00C445AC" w:rsidP="00C445AC">
      <w:pPr>
        <w:spacing w:line="480" w:lineRule="auto"/>
        <w:ind w:firstLine="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Menurut Rushton </w:t>
      </w:r>
      <w:r w:rsidRPr="00C445AC">
        <w:rPr>
          <w:rFonts w:ascii="Times New Roman" w:eastAsia="Times New Roman" w:hAnsi="Times New Roman" w:cs="Times New Roman"/>
          <w:i/>
          <w:iCs/>
          <w:spacing w:val="-2"/>
          <w:kern w:val="0"/>
          <w:sz w:val="24"/>
          <w:szCs w:val="24"/>
          <w14:ligatures w14:val="none"/>
        </w:rPr>
        <w:t>et al.</w:t>
      </w:r>
      <w:r w:rsidRPr="00C445AC">
        <w:rPr>
          <w:rFonts w:ascii="Times New Roman" w:eastAsia="Times New Roman" w:hAnsi="Times New Roman" w:cs="Times New Roman"/>
          <w:spacing w:val="-2"/>
          <w:kern w:val="0"/>
          <w:sz w:val="24"/>
          <w:szCs w:val="24"/>
          <w14:ligatures w14:val="none"/>
        </w:rPr>
        <w:t xml:space="preserve"> (2022) menyebutkan bahwa gudang tidak hanya memiliki peran sebagai tempat penyimpanan, tetapi juga sebagai pusat koordinasi aktivitas distribusi yang menghubungkan antara produsen, pemasok dan konsumen. Melalui fungsi-fungsi seperti penyimpanan sementara, </w:t>
      </w:r>
      <w:r w:rsidRPr="00C445AC">
        <w:rPr>
          <w:rFonts w:ascii="Times New Roman" w:eastAsia="Times New Roman" w:hAnsi="Times New Roman" w:cs="Times New Roman"/>
          <w:i/>
          <w:iCs/>
          <w:spacing w:val="-2"/>
          <w:kern w:val="0"/>
          <w:sz w:val="24"/>
          <w:szCs w:val="24"/>
          <w14:ligatures w14:val="none"/>
        </w:rPr>
        <w:t>order picking</w:t>
      </w:r>
      <w:r w:rsidRPr="00C445AC">
        <w:rPr>
          <w:rFonts w:ascii="Times New Roman" w:eastAsia="Times New Roman" w:hAnsi="Times New Roman" w:cs="Times New Roman"/>
          <w:spacing w:val="-2"/>
          <w:kern w:val="0"/>
          <w:sz w:val="24"/>
          <w:szCs w:val="24"/>
          <w14:ligatures w14:val="none"/>
        </w:rPr>
        <w:t>, konsolidasi muatan dan pendistribusian produk ke titik akhir, gudang memiliki peran penting dalam menghubungkan proses produksi dan permintaan pasar. Pada akhirnya, gudang menjadi titik keseimbangan antara ketersediaan pasokan dan permintaan pasar dalam rantai pasokan.</w:t>
      </w:r>
    </w:p>
    <w:p w14:paraId="362F10EF"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lastRenderedPageBreak/>
        <w:tab/>
        <w:t xml:space="preserve">Efektivitas pemanfaatan ruang gudang merupakan faktor penentu yang secara signifikan mempengaruhi kelancaran arus barang dan operasional gudang secara keseluruhan. Menurut Bowersox </w:t>
      </w:r>
      <w:r w:rsidRPr="00C445AC">
        <w:rPr>
          <w:rFonts w:ascii="Times New Roman" w:eastAsia="Times New Roman" w:hAnsi="Times New Roman" w:cs="Times New Roman"/>
          <w:i/>
          <w:iCs/>
          <w:spacing w:val="-2"/>
          <w:kern w:val="0"/>
          <w:sz w:val="24"/>
          <w:szCs w:val="24"/>
          <w14:ligatures w14:val="none"/>
        </w:rPr>
        <w:t>et al</w:t>
      </w:r>
      <w:r w:rsidRPr="00C445AC">
        <w:rPr>
          <w:rFonts w:ascii="Times New Roman" w:eastAsia="Times New Roman" w:hAnsi="Times New Roman" w:cs="Times New Roman"/>
          <w:spacing w:val="-2"/>
          <w:kern w:val="0"/>
          <w:sz w:val="24"/>
          <w:szCs w:val="24"/>
          <w14:ligatures w14:val="none"/>
        </w:rPr>
        <w:t xml:space="preserve">. (2020) menjelaskan bahwa pengaturan ruang yang optimal memungkinkan percepatan kritis pada proses </w:t>
      </w:r>
      <w:r w:rsidRPr="00C445AC">
        <w:rPr>
          <w:rFonts w:ascii="Times New Roman" w:eastAsia="Times New Roman" w:hAnsi="Times New Roman" w:cs="Times New Roman"/>
          <w:i/>
          <w:iCs/>
          <w:spacing w:val="-2"/>
          <w:kern w:val="0"/>
          <w:sz w:val="24"/>
          <w:szCs w:val="24"/>
          <w14:ligatures w14:val="none"/>
        </w:rPr>
        <w:t>picking</w:t>
      </w:r>
      <w:r w:rsidRPr="00C445AC">
        <w:rPr>
          <w:rFonts w:ascii="Times New Roman" w:eastAsia="Times New Roman" w:hAnsi="Times New Roman" w:cs="Times New Roman"/>
          <w:spacing w:val="-2"/>
          <w:kern w:val="0"/>
          <w:sz w:val="24"/>
          <w:szCs w:val="24"/>
          <w14:ligatures w14:val="none"/>
        </w:rPr>
        <w:t xml:space="preserve"> dan </w:t>
      </w:r>
      <w:r w:rsidRPr="00C445AC">
        <w:rPr>
          <w:rFonts w:ascii="Times New Roman" w:eastAsia="Times New Roman" w:hAnsi="Times New Roman" w:cs="Times New Roman"/>
          <w:i/>
          <w:iCs/>
          <w:spacing w:val="-2"/>
          <w:kern w:val="0"/>
          <w:sz w:val="24"/>
          <w:szCs w:val="24"/>
          <w14:ligatures w14:val="none"/>
        </w:rPr>
        <w:t>put away</w:t>
      </w:r>
      <w:r w:rsidRPr="00C445AC">
        <w:rPr>
          <w:rFonts w:ascii="Times New Roman" w:eastAsia="Times New Roman" w:hAnsi="Times New Roman" w:cs="Times New Roman"/>
          <w:spacing w:val="-2"/>
          <w:kern w:val="0"/>
          <w:sz w:val="24"/>
          <w:szCs w:val="24"/>
          <w14:ligatures w14:val="none"/>
        </w:rPr>
        <w:t xml:space="preserve">, sekaligus secara efektif mengurangi potensi kemacetan di lingkungan kerja. Dengan meminimalkan kebutuhan penanganan berulang, perusahaan dapat mencapai efisiensi biaya yang substansial. Sebaliknya, praktik penataan yang tidak terorganisir akan menimbulkan serangkaian konsekuensi negatif, termasuk meningkatnya beban waktu pencarian barang, tingginya kesalahan penempatan stok, dan penurunan produktivitas yang pada akhirnya menggerus profitabilitas perusahaan. </w:t>
      </w:r>
    </w:p>
    <w:p w14:paraId="46A9757E"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 xml:space="preserve">Ada berbagai jenis media penyimpanan dalam industri logistik, salah satunya adalah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(IBC). </w:t>
      </w:r>
      <w:r w:rsidRPr="00C445AC">
        <w:rPr>
          <w:rFonts w:ascii="Times New Roman" w:eastAsia="Times New Roman" w:hAnsi="Times New Roman" w:cs="Times New Roman"/>
          <w:i/>
          <w:iCs/>
          <w:spacing w:val="-2"/>
          <w:kern w:val="0"/>
          <w:sz w:val="24"/>
          <w:szCs w:val="24"/>
          <w14:ligatures w14:val="none"/>
        </w:rPr>
        <w:t xml:space="preserve">Intermediate Bulk Container </w:t>
      </w:r>
      <w:r w:rsidRPr="00C445AC">
        <w:rPr>
          <w:rFonts w:ascii="Times New Roman" w:eastAsia="Times New Roman" w:hAnsi="Times New Roman" w:cs="Times New Roman"/>
          <w:spacing w:val="-2"/>
          <w:kern w:val="0"/>
          <w:sz w:val="24"/>
          <w:szCs w:val="24"/>
          <w14:ligatures w14:val="none"/>
        </w:rPr>
        <w:t xml:space="preserve">atau wadah curah menengah adalah merupakan kemasan industri multifungsi yang dirancang untuk memudahkan proses penyimpanan dan pengangkutan bahan cair, padatan sebagian, pasta, maupun material granular dalam volume besar secara efisien. Wadah ini biasanya terbuat dari bahan plastik kaku, baja tahan karat, atau kombinasi keduanya sehingga menjadikannya solusi penyimpanan yang efisien, tahan lama, dan ramah lingkungan. Sejalan dengan hal tersebut, penelitian oleh Firdaus dkk. (2023) menunjukkan bahwa penerapan IBC dalam sistem </w:t>
      </w:r>
      <w:r w:rsidRPr="00C445AC">
        <w:rPr>
          <w:rFonts w:ascii="Times New Roman" w:eastAsia="Times New Roman" w:hAnsi="Times New Roman" w:cs="Times New Roman"/>
          <w:i/>
          <w:iCs/>
          <w:spacing w:val="-2"/>
          <w:kern w:val="0"/>
          <w:sz w:val="24"/>
          <w:szCs w:val="24"/>
          <w14:ligatures w14:val="none"/>
        </w:rPr>
        <w:t>green supply chain management</w:t>
      </w:r>
      <w:r w:rsidRPr="00C445AC">
        <w:rPr>
          <w:rFonts w:ascii="Times New Roman" w:eastAsia="Times New Roman" w:hAnsi="Times New Roman" w:cs="Times New Roman"/>
          <w:spacing w:val="-2"/>
          <w:kern w:val="0"/>
          <w:sz w:val="24"/>
          <w:szCs w:val="24"/>
          <w14:ligatures w14:val="none"/>
        </w:rPr>
        <w:t xml:space="preserve"> dapat meningkatkan efisiensi kemasan hingga 23,67% sekaligus mengurangi limbah industri, sehingga mempertegas peran IBC dalam mendukung efektivitas ruang dan keberlanjutan operasional logistik modern.</w:t>
      </w:r>
    </w:p>
    <w:p w14:paraId="6E0D465A" w14:textId="77777777" w:rsidR="00C445AC" w:rsidRPr="00C445AC" w:rsidRDefault="00C445AC" w:rsidP="00C445AC">
      <w:pPr>
        <w:spacing w:after="0" w:line="480" w:lineRule="auto"/>
        <w:ind w:firstLine="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lastRenderedPageBreak/>
        <w:t xml:space="preserve">Mengingat karakteristik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(IBC) yang berkapasitas besar dan berisiko tinggi terhadap keselamatan serta efisiensi ruang, pengelolaan gudang yang menyimpan IBC perlu memperhatikan kerangka regulasi yang mengatur aspek operasional dan teknisnya. Pada skala global, penggunaan dan integritas struktural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(IBC) diatur oleh sebuah kerangka teknis yang komprehensif. Kerangka ini ditetapkan </w:t>
      </w:r>
      <w:r w:rsidRPr="00C445AC">
        <w:rPr>
          <w:rFonts w:ascii="Times New Roman" w:eastAsia="Times New Roman" w:hAnsi="Times New Roman" w:cs="Times New Roman"/>
          <w:i/>
          <w:iCs/>
          <w:spacing w:val="-2"/>
          <w:kern w:val="0"/>
          <w:sz w:val="24"/>
          <w:szCs w:val="24"/>
          <w14:ligatures w14:val="none"/>
        </w:rPr>
        <w:t>oleh United Nations Committee of Experts on the Transport of Dangerous Goods</w:t>
      </w:r>
      <w:r w:rsidRPr="00C445AC">
        <w:rPr>
          <w:rFonts w:ascii="Times New Roman" w:eastAsia="Times New Roman" w:hAnsi="Times New Roman" w:cs="Times New Roman"/>
          <w:spacing w:val="-2"/>
          <w:kern w:val="0"/>
          <w:sz w:val="24"/>
          <w:szCs w:val="24"/>
          <w14:ligatures w14:val="none"/>
        </w:rPr>
        <w:t xml:space="preserve"> melalui publikasi </w:t>
      </w:r>
      <w:r w:rsidRPr="00C445AC">
        <w:rPr>
          <w:rFonts w:ascii="Times New Roman" w:eastAsia="Times New Roman" w:hAnsi="Times New Roman" w:cs="Times New Roman"/>
          <w:i/>
          <w:iCs/>
          <w:spacing w:val="-2"/>
          <w:kern w:val="0"/>
          <w:sz w:val="24"/>
          <w:szCs w:val="24"/>
          <w14:ligatures w14:val="none"/>
        </w:rPr>
        <w:t>Recommendations on the Transport of Dangerous Goods: Model Regulations</w:t>
      </w:r>
      <w:r w:rsidRPr="00C445AC">
        <w:rPr>
          <w:rFonts w:ascii="Times New Roman" w:eastAsia="Times New Roman" w:hAnsi="Times New Roman" w:cs="Times New Roman"/>
          <w:spacing w:val="-2"/>
          <w:kern w:val="0"/>
          <w:sz w:val="24"/>
          <w:szCs w:val="24"/>
          <w14:ligatures w14:val="none"/>
        </w:rPr>
        <w:t xml:space="preserve"> (2019). Pada bab 6.5 dalam pedoman PBB ini menetapkan ketentuan teknis yang ketat mengenai desain, konstruksi, pengujian, dan pelabelan IBC. Standar ini berfungsi sebagai acuan harmonisasi global bagi negara-negara dalam memastikan konsistensi dan keamanan IBC, baik selama penyimpanan maupun transportasi.</w:t>
      </w:r>
    </w:p>
    <w:p w14:paraId="0E50D3E6" w14:textId="77777777" w:rsidR="00C445AC" w:rsidRPr="00C445AC" w:rsidRDefault="00C445AC" w:rsidP="00C445AC">
      <w:pPr>
        <w:spacing w:after="0" w:line="480" w:lineRule="auto"/>
        <w:ind w:firstLine="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Landasan hukum utama bagi tata kelola gudang pada tingkat nasional diatur dalam Undang-Undang Republik Indonesia Nomor 7 Tahun 2014 tentang Perdagangan. Ketentuan operasional yang menjadi dasar dalam kegiatan pergudangan tercantum pada Pasal 17 ayat (1) yaitu mewajibkan setiap pemilik atau pengelola gudang untuk menyelenggarakan pencatatan administrasi secara tertib dan berkelanjutan. Pencatatan tersebut sekurang-kurangnya mencakup data mengenai jumlah barang yang disimpan, serta volume barang yang masuk dan keluar dari gudang. Melalui pencatatan yang akurat dan terukur, pengelola gudang dapat menerapkan pengambilan keputusan berbasis data dalam memantau pola pergerakan barang, baik kategori </w:t>
      </w:r>
      <w:r w:rsidRPr="00C445AC">
        <w:rPr>
          <w:rFonts w:ascii="Times New Roman" w:eastAsia="Times New Roman" w:hAnsi="Times New Roman" w:cs="Times New Roman"/>
          <w:i/>
          <w:iCs/>
          <w:spacing w:val="-2"/>
          <w:kern w:val="0"/>
          <w:sz w:val="24"/>
          <w:szCs w:val="24"/>
          <w14:ligatures w14:val="none"/>
        </w:rPr>
        <w:t>fast moving</w:t>
      </w:r>
      <w:r w:rsidRPr="00C445AC">
        <w:rPr>
          <w:rFonts w:ascii="Times New Roman" w:eastAsia="Times New Roman" w:hAnsi="Times New Roman" w:cs="Times New Roman"/>
          <w:spacing w:val="-2"/>
          <w:kern w:val="0"/>
          <w:sz w:val="24"/>
          <w:szCs w:val="24"/>
          <w14:ligatures w14:val="none"/>
        </w:rPr>
        <w:t xml:space="preserve"> maupun </w:t>
      </w:r>
      <w:r w:rsidRPr="00C445AC">
        <w:rPr>
          <w:rFonts w:ascii="Times New Roman" w:eastAsia="Times New Roman" w:hAnsi="Times New Roman" w:cs="Times New Roman"/>
          <w:i/>
          <w:iCs/>
          <w:spacing w:val="-2"/>
          <w:kern w:val="0"/>
          <w:sz w:val="24"/>
          <w:szCs w:val="24"/>
          <w14:ligatures w14:val="none"/>
        </w:rPr>
        <w:t>slow moving</w:t>
      </w:r>
      <w:r w:rsidRPr="00C445AC">
        <w:rPr>
          <w:rFonts w:ascii="Times New Roman" w:eastAsia="Times New Roman" w:hAnsi="Times New Roman" w:cs="Times New Roman"/>
          <w:spacing w:val="-2"/>
          <w:kern w:val="0"/>
          <w:sz w:val="24"/>
          <w:szCs w:val="24"/>
          <w14:ligatures w14:val="none"/>
        </w:rPr>
        <w:t>.</w:t>
      </w:r>
    </w:p>
    <w:p w14:paraId="4DDDD2EE" w14:textId="77777777" w:rsidR="00C445AC" w:rsidRPr="00C445AC" w:rsidRDefault="00C445AC" w:rsidP="00C445AC">
      <w:pPr>
        <w:spacing w:after="0" w:line="480" w:lineRule="auto"/>
        <w:ind w:firstLine="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lastRenderedPageBreak/>
        <w:t xml:space="preserve">Dari aspek keamanan dan kelayakan penyimpanan, Pasal 57 ayat (1) Undang-Undang Nomor 7 Tahun 2014 tentang Perdagangan menegaskan bahwa setiap barang yang diperdagangkan wajib memenuhi Standar Nasional Indonesia (SNI) atau persyaratan teknis yang telah ditetapkan secara wajib oleh pemerintah. Ketentuan ini memiliki relevansi tinggi terhadap sistem penyimpanan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(IBC), terutama untuk produk yang mengandung bahan kimia cair atau pelumas industri. Dalam konteks tersebut, standar teknis tidak hanya berfungsi sebagai pedoman keselamatan, tetapi juga sebagai dasar dalam merancang tata letak dan sistem penyimpanan yang aman.</w:t>
      </w:r>
    </w:p>
    <w:p w14:paraId="51F1CD07" w14:textId="77777777" w:rsidR="00C445AC" w:rsidRPr="00C445AC" w:rsidRDefault="00C445AC" w:rsidP="00C445AC">
      <w:pPr>
        <w:spacing w:after="0" w:line="480" w:lineRule="auto"/>
        <w:ind w:firstLine="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PT Syncrum Logistics adalah perusahaan swasta yang bergerak pada bidang layanan pergudangan dan pengiriman barang. Perusahaan ini memiliki dua gudang yang terpisah dalam satu kawasan industri. Kegiatan layanan pergudangan pada gudang Selayar cukup modern karena sudah mengadopsi teknologi dalam administrasi dan operasionalnya. PT Syncrum Logistics melayani penyimpanan barang dari berbagai pelanggan, seperti PT Utama Karya Niaga, PT Denso Indonesia, PT Yamalube Indonesia, PT Anest Iwata dan PT Sadikun. Dalam layanan pergudangannya, sebagian besar barang yang disimpan adalah produk otomotif seperti berbagai jenis oli mesin dan kendaraan, </w:t>
      </w:r>
      <w:r w:rsidRPr="00C445AC">
        <w:rPr>
          <w:rFonts w:ascii="Times New Roman" w:eastAsia="Times New Roman" w:hAnsi="Times New Roman" w:cs="Times New Roman"/>
          <w:i/>
          <w:iCs/>
          <w:spacing w:val="-2"/>
          <w:kern w:val="0"/>
          <w:sz w:val="24"/>
          <w:szCs w:val="24"/>
          <w14:ligatures w14:val="none"/>
        </w:rPr>
        <w:t>sparepart</w:t>
      </w:r>
      <w:r w:rsidRPr="00C445AC">
        <w:rPr>
          <w:rFonts w:ascii="Times New Roman" w:eastAsia="Times New Roman" w:hAnsi="Times New Roman" w:cs="Times New Roman"/>
          <w:spacing w:val="-2"/>
          <w:kern w:val="0"/>
          <w:sz w:val="24"/>
          <w:szCs w:val="24"/>
          <w14:ligatures w14:val="none"/>
        </w:rPr>
        <w:t xml:space="preserve"> dan produk lainnya seperti biji plastik. Sistem penyimpanan barang yang digunakan ada dua jenis, yaitu </w:t>
      </w:r>
      <w:r w:rsidRPr="00C445AC">
        <w:rPr>
          <w:rFonts w:ascii="Times New Roman" w:eastAsia="Times New Roman" w:hAnsi="Times New Roman" w:cs="Times New Roman"/>
          <w:i/>
          <w:iCs/>
          <w:spacing w:val="-2"/>
          <w:kern w:val="0"/>
          <w:sz w:val="24"/>
          <w:szCs w:val="24"/>
          <w14:ligatures w14:val="none"/>
        </w:rPr>
        <w:t>racking</w:t>
      </w:r>
      <w:r w:rsidRPr="00C445AC">
        <w:rPr>
          <w:rFonts w:ascii="Times New Roman" w:eastAsia="Times New Roman" w:hAnsi="Times New Roman" w:cs="Times New Roman"/>
          <w:spacing w:val="-2"/>
          <w:kern w:val="0"/>
          <w:sz w:val="24"/>
          <w:szCs w:val="24"/>
          <w14:ligatures w14:val="none"/>
        </w:rPr>
        <w:t xml:space="preserve"> dan </w:t>
      </w:r>
      <w:r w:rsidRPr="00C445AC">
        <w:rPr>
          <w:rFonts w:ascii="Times New Roman" w:eastAsia="Times New Roman" w:hAnsi="Times New Roman" w:cs="Times New Roman"/>
          <w:i/>
          <w:iCs/>
          <w:spacing w:val="-2"/>
          <w:kern w:val="0"/>
          <w:sz w:val="24"/>
          <w:szCs w:val="24"/>
          <w14:ligatures w14:val="none"/>
        </w:rPr>
        <w:t>flooring</w:t>
      </w:r>
      <w:r w:rsidRPr="00C445AC">
        <w:rPr>
          <w:rFonts w:ascii="Times New Roman" w:eastAsia="Times New Roman" w:hAnsi="Times New Roman" w:cs="Times New Roman"/>
          <w:spacing w:val="-2"/>
          <w:kern w:val="0"/>
          <w:sz w:val="24"/>
          <w:szCs w:val="24"/>
          <w14:ligatures w14:val="none"/>
        </w:rPr>
        <w:t xml:space="preserve">. Untuk jenis penyimpanan </w:t>
      </w:r>
      <w:r w:rsidRPr="00C445AC">
        <w:rPr>
          <w:rFonts w:ascii="Times New Roman" w:eastAsia="Times New Roman" w:hAnsi="Times New Roman" w:cs="Times New Roman"/>
          <w:i/>
          <w:iCs/>
          <w:spacing w:val="-2"/>
          <w:kern w:val="0"/>
          <w:sz w:val="24"/>
          <w:szCs w:val="24"/>
          <w14:ligatures w14:val="none"/>
        </w:rPr>
        <w:t>flooring</w:t>
      </w:r>
      <w:r w:rsidRPr="00C445AC">
        <w:rPr>
          <w:rFonts w:ascii="Times New Roman" w:eastAsia="Times New Roman" w:hAnsi="Times New Roman" w:cs="Times New Roman"/>
          <w:spacing w:val="-2"/>
          <w:kern w:val="0"/>
          <w:sz w:val="24"/>
          <w:szCs w:val="24"/>
          <w14:ligatures w14:val="none"/>
        </w:rPr>
        <w:t xml:space="preserve"> biasanya digunakan untuk barang IBC karena memiliki volume yang besar dan bobot yang berat. Namun, meskipun sudah menggunakan teknologi dalam kegiatan operasionalnya, penerapan sistem penyimpanan IBC masih belum optimal dan efisien.</w:t>
      </w:r>
    </w:p>
    <w:p w14:paraId="445353D8" w14:textId="77777777" w:rsidR="00C445AC" w:rsidRPr="00C445AC" w:rsidRDefault="00C445AC" w:rsidP="00C445AC">
      <w:pPr>
        <w:keepNext/>
        <w:spacing w:line="480" w:lineRule="auto"/>
        <w:ind w:firstLine="720"/>
        <w:jc w:val="center"/>
        <w:rPr>
          <w:rFonts w:ascii="Times New Roman" w:hAnsi="Times New Roman"/>
          <w:sz w:val="24"/>
        </w:rPr>
      </w:pPr>
      <w:r w:rsidRPr="00C445AC">
        <w:rPr>
          <w:rFonts w:ascii="Times New Roman" w:eastAsia="Times New Roman" w:hAnsi="Times New Roman" w:cs="Times New Roman"/>
          <w:noProof/>
          <w:spacing w:val="-2"/>
          <w:kern w:val="0"/>
          <w:sz w:val="24"/>
          <w:szCs w:val="24"/>
        </w:rPr>
        <w:lastRenderedPageBreak/>
        <w:drawing>
          <wp:inline distT="0" distB="0" distL="0" distR="0" wp14:anchorId="727F3474" wp14:editId="150C315E">
            <wp:extent cx="4164594" cy="238427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t="32004" b="25057"/>
                    <a:stretch/>
                  </pic:blipFill>
                  <pic:spPr bwMode="auto">
                    <a:xfrm>
                      <a:off x="0" y="0"/>
                      <a:ext cx="4193261" cy="2400682"/>
                    </a:xfrm>
                    <a:prstGeom prst="rect">
                      <a:avLst/>
                    </a:prstGeom>
                    <a:ln>
                      <a:noFill/>
                    </a:ln>
                    <a:extLst>
                      <a:ext uri="{53640926-AAD7-44D8-BBD7-CCE9431645EC}">
                        <a14:shadowObscured xmlns:a14="http://schemas.microsoft.com/office/drawing/2010/main"/>
                      </a:ext>
                    </a:extLst>
                  </pic:spPr>
                </pic:pic>
              </a:graphicData>
            </a:graphic>
          </wp:inline>
        </w:drawing>
      </w:r>
    </w:p>
    <w:p w14:paraId="4BC45830" w14:textId="77777777" w:rsidR="00C445AC" w:rsidRPr="00C445AC" w:rsidRDefault="00C445AC" w:rsidP="00C445AC">
      <w:pPr>
        <w:spacing w:after="200" w:line="240" w:lineRule="auto"/>
        <w:ind w:firstLine="720"/>
        <w:jc w:val="center"/>
        <w:rPr>
          <w:rFonts w:ascii="Times New Roman" w:eastAsia="Times New Roman" w:hAnsi="Times New Roman" w:cs="Times New Roman"/>
          <w:spacing w:val="-2"/>
          <w:kern w:val="0"/>
          <w:sz w:val="36"/>
          <w:szCs w:val="36"/>
          <w14:ligatures w14:val="none"/>
        </w:rPr>
      </w:pPr>
      <w:bookmarkStart w:id="2" w:name="_Toc228266221"/>
      <w:r w:rsidRPr="00C445AC">
        <w:rPr>
          <w:rFonts w:ascii="Times New Roman" w:hAnsi="Times New Roman" w:cs="Times New Roman"/>
          <w:sz w:val="24"/>
          <w:szCs w:val="24"/>
        </w:rPr>
        <w:t xml:space="preserve">Gambar 1. </w:t>
      </w:r>
      <w:r w:rsidRPr="00C445AC">
        <w:rPr>
          <w:rFonts w:ascii="Times New Roman" w:hAnsi="Times New Roman" w:cs="Times New Roman"/>
          <w:sz w:val="24"/>
          <w:szCs w:val="24"/>
        </w:rPr>
        <w:fldChar w:fldCharType="begin"/>
      </w:r>
      <w:r w:rsidRPr="00C445AC">
        <w:rPr>
          <w:rFonts w:ascii="Times New Roman" w:hAnsi="Times New Roman" w:cs="Times New Roman"/>
          <w:sz w:val="24"/>
          <w:szCs w:val="24"/>
        </w:rPr>
        <w:instrText xml:space="preserve"> SEQ Gambar_1. \* ARABIC </w:instrText>
      </w:r>
      <w:r w:rsidRPr="00C445AC">
        <w:rPr>
          <w:rFonts w:ascii="Times New Roman" w:hAnsi="Times New Roman" w:cs="Times New Roman"/>
          <w:sz w:val="24"/>
          <w:szCs w:val="24"/>
        </w:rPr>
        <w:fldChar w:fldCharType="separate"/>
      </w:r>
      <w:r w:rsidRPr="00C445AC">
        <w:rPr>
          <w:rFonts w:ascii="Times New Roman" w:hAnsi="Times New Roman" w:cs="Times New Roman"/>
          <w:noProof/>
          <w:sz w:val="24"/>
          <w:szCs w:val="24"/>
        </w:rPr>
        <w:t>1</w:t>
      </w:r>
      <w:r w:rsidRPr="00C445AC">
        <w:rPr>
          <w:rFonts w:ascii="Times New Roman" w:hAnsi="Times New Roman" w:cs="Times New Roman"/>
          <w:sz w:val="24"/>
          <w:szCs w:val="24"/>
        </w:rPr>
        <w:fldChar w:fldCharType="end"/>
      </w:r>
      <w:r w:rsidRPr="00C445AC">
        <w:rPr>
          <w:rFonts w:ascii="Times New Roman" w:hAnsi="Times New Roman" w:cs="Times New Roman"/>
          <w:sz w:val="24"/>
          <w:szCs w:val="24"/>
        </w:rPr>
        <w:t xml:space="preserve"> Kondisi Terkini Gudang Penyimpanan IBC</w:t>
      </w:r>
      <w:bookmarkEnd w:id="2"/>
    </w:p>
    <w:p w14:paraId="467817A8" w14:textId="77777777" w:rsidR="00C445AC" w:rsidRPr="00C445AC" w:rsidRDefault="00C445AC" w:rsidP="00C445AC">
      <w:pPr>
        <w:spacing w:line="480" w:lineRule="auto"/>
        <w:ind w:firstLine="720"/>
        <w:jc w:val="center"/>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Sumber : Dokumentasi Penulis, 2025</w:t>
      </w:r>
    </w:p>
    <w:p w14:paraId="0830694B"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 xml:space="preserve">Berdasarkan Gambar 1.1, menunjukkan bahwa kondisi fisik dan tata letak pada area penyimpanan IBC di Gudang Selayar belum memenuhi standar tata kelola pergudangan yang ideal. Menurut Tompkins et al. (2010), sebuah fasilitas gudang yang standar wajib memenuhi prinsip-prinsip penataan visual dan spatial dasar, yang meliputi: (1) standardisasi alokasi ruang </w:t>
      </w:r>
      <w:r w:rsidRPr="00C445AC">
        <w:rPr>
          <w:rFonts w:ascii="Times New Roman" w:eastAsia="Times New Roman" w:hAnsi="Times New Roman" w:cs="Times New Roman"/>
          <w:i/>
          <w:iCs/>
          <w:spacing w:val="-2"/>
          <w:kern w:val="0"/>
          <w:sz w:val="24"/>
          <w:szCs w:val="24"/>
          <w14:ligatures w14:val="none"/>
        </w:rPr>
        <w:t>(defined storage locations atau bin locations)</w:t>
      </w:r>
      <w:r w:rsidRPr="00C445AC">
        <w:rPr>
          <w:rFonts w:ascii="Times New Roman" w:eastAsia="Times New Roman" w:hAnsi="Times New Roman" w:cs="Times New Roman"/>
          <w:spacing w:val="-2"/>
          <w:kern w:val="0"/>
          <w:sz w:val="24"/>
          <w:szCs w:val="24"/>
          <w14:ligatures w14:val="none"/>
        </w:rPr>
        <w:t xml:space="preserve"> untuk menjamin aksesibilitas barang, (2) pembuatan markah atau garis pembatas lantai </w:t>
      </w:r>
      <w:r w:rsidRPr="00C445AC">
        <w:rPr>
          <w:rFonts w:ascii="Times New Roman" w:eastAsia="Times New Roman" w:hAnsi="Times New Roman" w:cs="Times New Roman"/>
          <w:i/>
          <w:iCs/>
          <w:spacing w:val="-2"/>
          <w:kern w:val="0"/>
          <w:sz w:val="24"/>
          <w:szCs w:val="24"/>
          <w14:ligatures w14:val="none"/>
        </w:rPr>
        <w:t>(clear floor markings/aisle lines)</w:t>
      </w:r>
      <w:r w:rsidRPr="00C445AC">
        <w:rPr>
          <w:rFonts w:ascii="Times New Roman" w:eastAsia="Times New Roman" w:hAnsi="Times New Roman" w:cs="Times New Roman"/>
          <w:spacing w:val="-2"/>
          <w:kern w:val="0"/>
          <w:sz w:val="24"/>
          <w:szCs w:val="24"/>
          <w14:ligatures w14:val="none"/>
        </w:rPr>
        <w:t xml:space="preserve"> yang jelas secara permanen demi keselamatan mobilitas dan pengaturan kerapatan tumpukan, serta (3) perlindungan fisik infrastruktur </w:t>
      </w:r>
      <w:r w:rsidRPr="00C445AC">
        <w:rPr>
          <w:rFonts w:ascii="Times New Roman" w:eastAsia="Times New Roman" w:hAnsi="Times New Roman" w:cs="Times New Roman"/>
          <w:i/>
          <w:iCs/>
          <w:spacing w:val="-2"/>
          <w:kern w:val="0"/>
          <w:sz w:val="24"/>
          <w:szCs w:val="24"/>
          <w14:ligatures w14:val="none"/>
        </w:rPr>
        <w:t>(proper layout enclosure)</w:t>
      </w:r>
      <w:r w:rsidRPr="00C445AC">
        <w:rPr>
          <w:rFonts w:ascii="Times New Roman" w:eastAsia="Times New Roman" w:hAnsi="Times New Roman" w:cs="Times New Roman"/>
          <w:spacing w:val="-2"/>
          <w:kern w:val="0"/>
          <w:sz w:val="24"/>
          <w:szCs w:val="24"/>
          <w14:ligatures w14:val="none"/>
        </w:rPr>
        <w:t xml:space="preserve"> yang memadai guna melindungi komoditas dari paparan lingkungan luar.</w:t>
      </w:r>
      <w:r w:rsidRPr="00C445AC">
        <w:rPr>
          <w:rFonts w:ascii="Times New Roman" w:hAnsi="Times New Roman"/>
          <w:sz w:val="24"/>
        </w:rPr>
        <w:t xml:space="preserve"> </w:t>
      </w:r>
      <w:r w:rsidRPr="00C445AC">
        <w:rPr>
          <w:rFonts w:ascii="Times New Roman" w:eastAsia="Times New Roman" w:hAnsi="Times New Roman" w:cs="Times New Roman"/>
          <w:spacing w:val="-2"/>
          <w:kern w:val="0"/>
          <w:sz w:val="24"/>
          <w:szCs w:val="24"/>
          <w14:ligatures w14:val="none"/>
        </w:rPr>
        <w:t>Terlihat pada Gambar 1.1, area operasional saat ini belum memiliki garis pembatas lantai yang jelas, tidak ada sistem pengalamatan lokasi fisik yang terstandardisasi, dan hanya menggunakan penutup sekadarnya karena memanfaatkan alih fungsi lahan terbuka.</w:t>
      </w:r>
    </w:p>
    <w:p w14:paraId="44440CE1"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lastRenderedPageBreak/>
        <w:tab/>
        <w:t xml:space="preserve">Berdasarkan standar indikator kinerja utama yang ditetapkan oleh manajemen PT Syncrum Logistics, target batas waktu maksimal untuk aktivitas pengambilan satu unit barang </w:t>
      </w:r>
      <w:r w:rsidRPr="00C445AC">
        <w:rPr>
          <w:rFonts w:ascii="Times New Roman" w:eastAsia="Times New Roman" w:hAnsi="Times New Roman" w:cs="Times New Roman"/>
          <w:i/>
          <w:iCs/>
          <w:spacing w:val="-2"/>
          <w:kern w:val="0"/>
          <w:sz w:val="24"/>
          <w:szCs w:val="24"/>
          <w14:ligatures w14:val="none"/>
        </w:rPr>
        <w:t>(Key Performance Indicator / KPI Picking Time)</w:t>
      </w:r>
      <w:r w:rsidRPr="00C445AC">
        <w:rPr>
          <w:rFonts w:ascii="Times New Roman" w:eastAsia="Times New Roman" w:hAnsi="Times New Roman" w:cs="Times New Roman"/>
          <w:spacing w:val="-2"/>
          <w:kern w:val="0"/>
          <w:sz w:val="24"/>
          <w:szCs w:val="24"/>
          <w14:ligatures w14:val="none"/>
        </w:rPr>
        <w:t xml:space="preserve"> adalah 5 menit per unit. Namun, hasil observasi dan pengukuran aktual yang dilakukan di lapangan menunjukkan terjadinya </w:t>
      </w:r>
      <w:r w:rsidRPr="00C445AC">
        <w:rPr>
          <w:rFonts w:ascii="Times New Roman" w:eastAsia="Times New Roman" w:hAnsi="Times New Roman" w:cs="Times New Roman"/>
          <w:i/>
          <w:iCs/>
          <w:spacing w:val="-2"/>
          <w:kern w:val="0"/>
          <w:sz w:val="24"/>
          <w:szCs w:val="24"/>
          <w14:ligatures w14:val="none"/>
        </w:rPr>
        <w:t>Operational Performance Gap</w:t>
      </w:r>
      <w:r w:rsidRPr="00C445AC">
        <w:rPr>
          <w:rFonts w:ascii="Times New Roman" w:eastAsia="Times New Roman" w:hAnsi="Times New Roman" w:cs="Times New Roman"/>
          <w:spacing w:val="-2"/>
          <w:kern w:val="0"/>
          <w:sz w:val="24"/>
          <w:szCs w:val="24"/>
          <w14:ligatures w14:val="none"/>
        </w:rPr>
        <w:t xml:space="preserve"> yang signifikan, di mana durasi picking time riil membengkak hingga mencapai 7–10 menit per unit IBC.</w:t>
      </w:r>
      <w:r w:rsidRPr="00C445AC">
        <w:rPr>
          <w:rFonts w:ascii="Times New Roman" w:hAnsi="Times New Roman"/>
          <w:sz w:val="24"/>
        </w:rPr>
        <w:t xml:space="preserve"> </w:t>
      </w:r>
      <w:r w:rsidRPr="00C445AC">
        <w:rPr>
          <w:rFonts w:ascii="Times New Roman" w:eastAsia="Times New Roman" w:hAnsi="Times New Roman" w:cs="Times New Roman"/>
          <w:spacing w:val="-2"/>
          <w:kern w:val="0"/>
          <w:sz w:val="24"/>
          <w:szCs w:val="24"/>
          <w14:ligatures w14:val="none"/>
        </w:rPr>
        <w:t xml:space="preserve">Kesenjangan kinerja ini terjadi karena penataan unit IBC masih menggunakan metode acak </w:t>
      </w:r>
      <w:r w:rsidRPr="00C445AC">
        <w:rPr>
          <w:rFonts w:ascii="Times New Roman" w:eastAsia="Times New Roman" w:hAnsi="Times New Roman" w:cs="Times New Roman"/>
          <w:i/>
          <w:iCs/>
          <w:spacing w:val="-2"/>
          <w:kern w:val="0"/>
          <w:sz w:val="24"/>
          <w:szCs w:val="24"/>
          <w14:ligatures w14:val="none"/>
        </w:rPr>
        <w:t>(random storage)</w:t>
      </w:r>
      <w:r w:rsidRPr="00C445AC">
        <w:rPr>
          <w:rFonts w:ascii="Times New Roman" w:eastAsia="Times New Roman" w:hAnsi="Times New Roman" w:cs="Times New Roman"/>
          <w:spacing w:val="-2"/>
          <w:kern w:val="0"/>
          <w:sz w:val="24"/>
          <w:szCs w:val="24"/>
          <w14:ligatures w14:val="none"/>
        </w:rPr>
        <w:t xml:space="preserve"> yang situasional berdasarkan ketersediaan celah kosong semata. Akibatnya, barang kategori </w:t>
      </w:r>
      <w:r w:rsidRPr="00C445AC">
        <w:rPr>
          <w:rFonts w:ascii="Times New Roman" w:eastAsia="Times New Roman" w:hAnsi="Times New Roman" w:cs="Times New Roman"/>
          <w:i/>
          <w:iCs/>
          <w:spacing w:val="-2"/>
          <w:kern w:val="0"/>
          <w:sz w:val="24"/>
          <w:szCs w:val="24"/>
          <w14:ligatures w14:val="none"/>
        </w:rPr>
        <w:t>fast-moving</w:t>
      </w:r>
      <w:r w:rsidRPr="00C445AC">
        <w:rPr>
          <w:rFonts w:ascii="Times New Roman" w:eastAsia="Times New Roman" w:hAnsi="Times New Roman" w:cs="Times New Roman"/>
          <w:spacing w:val="-2"/>
          <w:kern w:val="0"/>
          <w:sz w:val="24"/>
          <w:szCs w:val="24"/>
          <w14:ligatures w14:val="none"/>
        </w:rPr>
        <w:t xml:space="preserve"> sering kali terhalang oleh unit </w:t>
      </w:r>
      <w:r w:rsidRPr="00C445AC">
        <w:rPr>
          <w:rFonts w:ascii="Times New Roman" w:eastAsia="Times New Roman" w:hAnsi="Times New Roman" w:cs="Times New Roman"/>
          <w:i/>
          <w:iCs/>
          <w:spacing w:val="-2"/>
          <w:kern w:val="0"/>
          <w:sz w:val="24"/>
          <w:szCs w:val="24"/>
          <w14:ligatures w14:val="none"/>
        </w:rPr>
        <w:t>slow-moving</w:t>
      </w:r>
      <w:r w:rsidRPr="00C445AC">
        <w:rPr>
          <w:rFonts w:ascii="Times New Roman" w:eastAsia="Times New Roman" w:hAnsi="Times New Roman" w:cs="Times New Roman"/>
          <w:spacing w:val="-2"/>
          <w:kern w:val="0"/>
          <w:sz w:val="24"/>
          <w:szCs w:val="24"/>
          <w14:ligatures w14:val="none"/>
        </w:rPr>
        <w:t xml:space="preserve">, sehingga memaksa operator melakukan </w:t>
      </w:r>
      <w:r w:rsidRPr="00C445AC">
        <w:rPr>
          <w:rFonts w:ascii="Times New Roman" w:eastAsia="Times New Roman" w:hAnsi="Times New Roman" w:cs="Times New Roman"/>
          <w:i/>
          <w:iCs/>
          <w:spacing w:val="-2"/>
          <w:kern w:val="0"/>
          <w:sz w:val="24"/>
          <w:szCs w:val="24"/>
          <w14:ligatures w14:val="none"/>
        </w:rPr>
        <w:t>double handling</w:t>
      </w:r>
      <w:r w:rsidRPr="00C445AC">
        <w:rPr>
          <w:rFonts w:ascii="Times New Roman" w:eastAsia="Times New Roman" w:hAnsi="Times New Roman" w:cs="Times New Roman"/>
          <w:spacing w:val="-2"/>
          <w:kern w:val="0"/>
          <w:sz w:val="24"/>
          <w:szCs w:val="24"/>
          <w14:ligatures w14:val="none"/>
        </w:rPr>
        <w:t xml:space="preserve"> dengan memindahkan 2 hingga 3 unit penghalang terlebih dahulu. Hambatan fisik tersebut tidak hanya menggerus produktivitas forklift, melainkan juga menghambat admin dalam mencatat koordinat lokasi secara presisi ke dalam </w:t>
      </w:r>
      <w:r w:rsidRPr="00C445AC">
        <w:rPr>
          <w:rFonts w:ascii="Times New Roman" w:eastAsia="Times New Roman" w:hAnsi="Times New Roman" w:cs="Times New Roman"/>
          <w:i/>
          <w:iCs/>
          <w:spacing w:val="-2"/>
          <w:kern w:val="0"/>
          <w:sz w:val="24"/>
          <w:szCs w:val="24"/>
          <w14:ligatures w14:val="none"/>
        </w:rPr>
        <w:t>Warehouse Management System</w:t>
      </w:r>
      <w:r w:rsidRPr="00C445AC">
        <w:rPr>
          <w:rFonts w:ascii="Times New Roman" w:eastAsia="Times New Roman" w:hAnsi="Times New Roman" w:cs="Times New Roman"/>
          <w:spacing w:val="-2"/>
          <w:kern w:val="0"/>
          <w:sz w:val="24"/>
          <w:szCs w:val="24"/>
          <w14:ligatures w14:val="none"/>
        </w:rPr>
        <w:t xml:space="preserve"> (WMS). Pada akhirnya, ketidaksesuaian pencatatan ini memicu diskrepansi data stok antara kondisi aktual lapangan dengan sistem administrasi digital yang menurunkan kelancaran alur logistik secara keseluruhan.</w:t>
      </w:r>
    </w:p>
    <w:p w14:paraId="01AEFB25"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 xml:space="preserve">Sementara itu, jika ditinjau dari aspek Keselamatan dan Kesehatan Kerja (K3), pengelolaan lingkungan kerja di Gudang Selayar masih menunjukkan compliance gap yang kritis. Mengingat mayoritas komoditas yang disimpan merupakan bahan kimia berbahaya (B3), pengendalian lingkungan kerja wajib memenuhi standar Kepmenaker No. 187 Tahun 1999 yang mengisyaratkan penyediaan Lembar Data Keselamatan Bahan (LDKB)/MSDS, pemisahan </w:t>
      </w:r>
      <w:r w:rsidRPr="00C445AC">
        <w:rPr>
          <w:rFonts w:ascii="Times New Roman" w:eastAsia="Times New Roman" w:hAnsi="Times New Roman" w:cs="Times New Roman"/>
          <w:i/>
          <w:iCs/>
          <w:spacing w:val="-2"/>
          <w:kern w:val="0"/>
          <w:sz w:val="24"/>
          <w:szCs w:val="24"/>
          <w14:ligatures w14:val="none"/>
        </w:rPr>
        <w:t>(segregation)</w:t>
      </w:r>
      <w:r w:rsidRPr="00C445AC">
        <w:rPr>
          <w:rFonts w:ascii="Times New Roman" w:eastAsia="Times New Roman" w:hAnsi="Times New Roman" w:cs="Times New Roman"/>
          <w:spacing w:val="-2"/>
          <w:kern w:val="0"/>
          <w:sz w:val="24"/>
          <w:szCs w:val="24"/>
          <w14:ligatures w14:val="none"/>
        </w:rPr>
        <w:t xml:space="preserve"> logistik kimia reaktif, penyediaan fasilitas penanggulangan keadaan </w:t>
      </w:r>
      <w:r w:rsidRPr="00C445AC">
        <w:rPr>
          <w:rFonts w:ascii="Times New Roman" w:eastAsia="Times New Roman" w:hAnsi="Times New Roman" w:cs="Times New Roman"/>
          <w:spacing w:val="-2"/>
          <w:kern w:val="0"/>
          <w:sz w:val="24"/>
          <w:szCs w:val="24"/>
          <w14:ligatures w14:val="none"/>
        </w:rPr>
        <w:lastRenderedPageBreak/>
        <w:t xml:space="preserve">darurat (seperti </w:t>
      </w:r>
      <w:r w:rsidRPr="00C445AC">
        <w:rPr>
          <w:rFonts w:ascii="Times New Roman" w:eastAsia="Times New Roman" w:hAnsi="Times New Roman" w:cs="Times New Roman"/>
          <w:i/>
          <w:iCs/>
          <w:spacing w:val="-2"/>
          <w:kern w:val="0"/>
          <w:sz w:val="24"/>
          <w:szCs w:val="24"/>
          <w14:ligatures w14:val="none"/>
        </w:rPr>
        <w:t>spill kit</w:t>
      </w:r>
      <w:r w:rsidRPr="00C445AC">
        <w:rPr>
          <w:rFonts w:ascii="Times New Roman" w:eastAsia="Times New Roman" w:hAnsi="Times New Roman" w:cs="Times New Roman"/>
          <w:spacing w:val="-2"/>
          <w:kern w:val="0"/>
          <w:sz w:val="24"/>
          <w:szCs w:val="24"/>
          <w14:ligatures w14:val="none"/>
        </w:rPr>
        <w:t xml:space="preserve">), serta penjaminan kemudahan akses alat pemadam kebakaran. Namun, observasi aktual di lapangan menunjukkan kondisi yang kontradiktif dengan regulasi tersebut, di mana: (1) belum terdapat pemisahan zona berdasarkan sifat reaktif zat kimia, (2) tidak tersedianya fasilitas </w:t>
      </w:r>
      <w:r w:rsidRPr="00C445AC">
        <w:rPr>
          <w:rFonts w:ascii="Times New Roman" w:eastAsia="Times New Roman" w:hAnsi="Times New Roman" w:cs="Times New Roman"/>
          <w:i/>
          <w:iCs/>
          <w:spacing w:val="-2"/>
          <w:kern w:val="0"/>
          <w:sz w:val="24"/>
          <w:szCs w:val="24"/>
          <w14:ligatures w14:val="none"/>
        </w:rPr>
        <w:t>spill kit</w:t>
      </w:r>
      <w:r w:rsidRPr="00C445AC">
        <w:rPr>
          <w:rFonts w:ascii="Times New Roman" w:eastAsia="Times New Roman" w:hAnsi="Times New Roman" w:cs="Times New Roman"/>
          <w:spacing w:val="-2"/>
          <w:kern w:val="0"/>
          <w:sz w:val="24"/>
          <w:szCs w:val="24"/>
          <w14:ligatures w14:val="none"/>
        </w:rPr>
        <w:t xml:space="preserve"> maupun bak penampung sekunder untuk mengantisipasi kebocoran unit IBC, serta (3) terhalangnya aksesibilitas Alat Pemadam Api Ringan (APAR) oleh tumpukan barang yang acak. Tanpa adanya pembenahan pada indikator-indikator wajib tersebut, risiko terjadinya kecelakaan kerja berupa paparan zat beracun maupun kebakaran akibat kegagalan isolasi kimia tetap berada pada level yang tinggi.</w:t>
      </w:r>
    </w:p>
    <w:p w14:paraId="30E56108" w14:textId="77777777" w:rsidR="00C445AC" w:rsidRPr="00C445AC" w:rsidRDefault="00C445AC" w:rsidP="00C445AC">
      <w:pPr>
        <w:spacing w:after="0" w:line="480" w:lineRule="auto"/>
        <w:ind w:firstLine="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Berikut data masalah yang terjadi pada penyimpanan IBC di Gudang Selayar PT Syncrum Logistics pada bulan September – November 2025 :</w:t>
      </w:r>
    </w:p>
    <w:p w14:paraId="6AC83849" w14:textId="77777777" w:rsidR="00C445AC" w:rsidRPr="00C445AC" w:rsidRDefault="00C445AC" w:rsidP="00C445AC">
      <w:pPr>
        <w:keepNext/>
        <w:spacing w:after="200" w:line="240" w:lineRule="auto"/>
        <w:jc w:val="center"/>
        <w:rPr>
          <w:rFonts w:ascii="Times New Roman" w:hAnsi="Times New Roman" w:cs="Times New Roman"/>
          <w:sz w:val="24"/>
          <w:szCs w:val="24"/>
        </w:rPr>
      </w:pPr>
      <w:bookmarkStart w:id="3" w:name="_Toc228180605"/>
      <w:bookmarkStart w:id="4" w:name="_Toc228182229"/>
      <w:r w:rsidRPr="00C445AC">
        <w:rPr>
          <w:rFonts w:ascii="Times New Roman" w:hAnsi="Times New Roman" w:cs="Times New Roman"/>
          <w:sz w:val="24"/>
          <w:szCs w:val="24"/>
        </w:rPr>
        <w:t xml:space="preserve">Tabel </w:t>
      </w:r>
      <w:r w:rsidRPr="00C445AC">
        <w:rPr>
          <w:rFonts w:ascii="Times New Roman" w:hAnsi="Times New Roman" w:cs="Times New Roman"/>
          <w:sz w:val="24"/>
          <w:szCs w:val="24"/>
        </w:rPr>
        <w:fldChar w:fldCharType="begin"/>
      </w:r>
      <w:r w:rsidRPr="00C445AC">
        <w:rPr>
          <w:rFonts w:ascii="Times New Roman" w:hAnsi="Times New Roman" w:cs="Times New Roman"/>
          <w:sz w:val="24"/>
          <w:szCs w:val="24"/>
        </w:rPr>
        <w:instrText xml:space="preserve"> SEQ Tabel \* ARABIC </w:instrText>
      </w:r>
      <w:r w:rsidRPr="00C445AC">
        <w:rPr>
          <w:rFonts w:ascii="Times New Roman" w:hAnsi="Times New Roman" w:cs="Times New Roman"/>
          <w:sz w:val="24"/>
          <w:szCs w:val="24"/>
        </w:rPr>
        <w:fldChar w:fldCharType="separate"/>
      </w:r>
      <w:r w:rsidRPr="00C445AC">
        <w:rPr>
          <w:rFonts w:ascii="Times New Roman" w:hAnsi="Times New Roman" w:cs="Times New Roman"/>
          <w:noProof/>
          <w:sz w:val="24"/>
          <w:szCs w:val="24"/>
        </w:rPr>
        <w:t>1</w:t>
      </w:r>
      <w:r w:rsidRPr="00C445AC">
        <w:rPr>
          <w:rFonts w:ascii="Times New Roman" w:hAnsi="Times New Roman" w:cs="Times New Roman"/>
          <w:sz w:val="24"/>
          <w:szCs w:val="24"/>
        </w:rPr>
        <w:fldChar w:fldCharType="end"/>
      </w:r>
      <w:r w:rsidRPr="00C445AC">
        <w:rPr>
          <w:rFonts w:ascii="Times New Roman" w:hAnsi="Times New Roman" w:cs="Times New Roman"/>
          <w:sz w:val="24"/>
          <w:szCs w:val="24"/>
        </w:rPr>
        <w:t>.1 Data Masalah yang Terjadi Pada Penyimpanan IBC</w:t>
      </w:r>
      <w:bookmarkEnd w:id="3"/>
      <w:bookmarkEnd w:id="4"/>
    </w:p>
    <w:tbl>
      <w:tblPr>
        <w:tblStyle w:val="TableGrid"/>
        <w:tblW w:w="7933" w:type="dxa"/>
        <w:tblLook w:val="04A0" w:firstRow="1" w:lastRow="0" w:firstColumn="1" w:lastColumn="0" w:noHBand="0" w:noVBand="1"/>
      </w:tblPr>
      <w:tblGrid>
        <w:gridCol w:w="700"/>
        <w:gridCol w:w="5994"/>
        <w:gridCol w:w="1239"/>
      </w:tblGrid>
      <w:tr w:rsidR="00C445AC" w:rsidRPr="00C445AC" w14:paraId="4F04860E" w14:textId="77777777" w:rsidTr="00432672">
        <w:trPr>
          <w:trHeight w:val="20"/>
        </w:trPr>
        <w:tc>
          <w:tcPr>
            <w:tcW w:w="704" w:type="dxa"/>
            <w:vAlign w:val="center"/>
          </w:tcPr>
          <w:p w14:paraId="1E244B32" w14:textId="77777777" w:rsidR="00C445AC" w:rsidRPr="00C445AC" w:rsidRDefault="00C445AC" w:rsidP="00C445AC">
            <w:pPr>
              <w:spacing w:line="360" w:lineRule="auto"/>
              <w:jc w:val="center"/>
              <w:rPr>
                <w:rFonts w:ascii="Times New Roman" w:hAnsi="Times New Roman" w:cs="Times New Roman"/>
                <w:b/>
                <w:bCs/>
                <w:sz w:val="24"/>
                <w:szCs w:val="24"/>
              </w:rPr>
            </w:pPr>
            <w:r w:rsidRPr="00C445AC">
              <w:rPr>
                <w:rFonts w:ascii="Times New Roman" w:hAnsi="Times New Roman" w:cs="Times New Roman"/>
                <w:b/>
                <w:bCs/>
                <w:sz w:val="24"/>
                <w:szCs w:val="24"/>
              </w:rPr>
              <w:t>No</w:t>
            </w:r>
          </w:p>
        </w:tc>
        <w:tc>
          <w:tcPr>
            <w:tcW w:w="6095" w:type="dxa"/>
            <w:vAlign w:val="center"/>
          </w:tcPr>
          <w:p w14:paraId="71658E9C" w14:textId="77777777" w:rsidR="00C445AC" w:rsidRPr="00C445AC" w:rsidRDefault="00C445AC" w:rsidP="00C445AC">
            <w:pPr>
              <w:spacing w:line="360" w:lineRule="auto"/>
              <w:jc w:val="center"/>
              <w:rPr>
                <w:rFonts w:ascii="Times New Roman" w:hAnsi="Times New Roman" w:cs="Times New Roman"/>
                <w:b/>
                <w:bCs/>
                <w:sz w:val="24"/>
                <w:szCs w:val="24"/>
              </w:rPr>
            </w:pPr>
            <w:r w:rsidRPr="00C445AC">
              <w:rPr>
                <w:rFonts w:ascii="Times New Roman" w:hAnsi="Times New Roman" w:cs="Times New Roman"/>
                <w:b/>
                <w:bCs/>
                <w:sz w:val="24"/>
                <w:szCs w:val="24"/>
              </w:rPr>
              <w:t>Masalah yang Terjadi</w:t>
            </w:r>
          </w:p>
        </w:tc>
        <w:tc>
          <w:tcPr>
            <w:tcW w:w="1134" w:type="dxa"/>
            <w:vAlign w:val="center"/>
          </w:tcPr>
          <w:p w14:paraId="601CE185" w14:textId="77777777" w:rsidR="00C445AC" w:rsidRPr="00C445AC" w:rsidRDefault="00C445AC" w:rsidP="00C445AC">
            <w:pPr>
              <w:spacing w:line="360" w:lineRule="auto"/>
              <w:jc w:val="center"/>
              <w:rPr>
                <w:rFonts w:ascii="Times New Roman" w:hAnsi="Times New Roman" w:cs="Times New Roman"/>
                <w:b/>
                <w:bCs/>
                <w:sz w:val="24"/>
                <w:szCs w:val="24"/>
              </w:rPr>
            </w:pPr>
            <w:r w:rsidRPr="00C445AC">
              <w:rPr>
                <w:rFonts w:ascii="Times New Roman" w:hAnsi="Times New Roman" w:cs="Times New Roman"/>
                <w:b/>
                <w:bCs/>
                <w:sz w:val="24"/>
                <w:szCs w:val="24"/>
              </w:rPr>
              <w:t>Frekuensi</w:t>
            </w:r>
          </w:p>
        </w:tc>
      </w:tr>
      <w:tr w:rsidR="00C445AC" w:rsidRPr="00C445AC" w14:paraId="3D2514A8" w14:textId="77777777" w:rsidTr="00432672">
        <w:trPr>
          <w:trHeight w:val="20"/>
        </w:trPr>
        <w:tc>
          <w:tcPr>
            <w:tcW w:w="704" w:type="dxa"/>
            <w:vAlign w:val="center"/>
          </w:tcPr>
          <w:p w14:paraId="7B979FA6"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c>
          <w:tcPr>
            <w:tcW w:w="6095" w:type="dxa"/>
            <w:vAlign w:val="center"/>
          </w:tcPr>
          <w:p w14:paraId="02D497F9"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Aktual ada, data di WMS tidak ada</w:t>
            </w:r>
          </w:p>
        </w:tc>
        <w:tc>
          <w:tcPr>
            <w:tcW w:w="1134" w:type="dxa"/>
            <w:vAlign w:val="center"/>
          </w:tcPr>
          <w:p w14:paraId="30D6D7E4"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10</w:t>
            </w:r>
          </w:p>
        </w:tc>
      </w:tr>
      <w:tr w:rsidR="00C445AC" w:rsidRPr="00C445AC" w14:paraId="7469794F" w14:textId="77777777" w:rsidTr="00432672">
        <w:trPr>
          <w:trHeight w:val="20"/>
        </w:trPr>
        <w:tc>
          <w:tcPr>
            <w:tcW w:w="704" w:type="dxa"/>
            <w:vAlign w:val="center"/>
          </w:tcPr>
          <w:p w14:paraId="52963ECE"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2</w:t>
            </w:r>
          </w:p>
        </w:tc>
        <w:tc>
          <w:tcPr>
            <w:tcW w:w="6095" w:type="dxa"/>
            <w:vAlign w:val="center"/>
          </w:tcPr>
          <w:p w14:paraId="68F45381"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Nomor pallet aktual dengan data di WMS berbeda.</w:t>
            </w:r>
          </w:p>
        </w:tc>
        <w:tc>
          <w:tcPr>
            <w:tcW w:w="1134" w:type="dxa"/>
            <w:vAlign w:val="center"/>
          </w:tcPr>
          <w:p w14:paraId="00346092"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r>
      <w:tr w:rsidR="00C445AC" w:rsidRPr="00C445AC" w14:paraId="27D2CD17" w14:textId="77777777" w:rsidTr="00432672">
        <w:trPr>
          <w:trHeight w:val="20"/>
        </w:trPr>
        <w:tc>
          <w:tcPr>
            <w:tcW w:w="704" w:type="dxa"/>
            <w:vAlign w:val="center"/>
          </w:tcPr>
          <w:p w14:paraId="0D5FB55A"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3</w:t>
            </w:r>
          </w:p>
        </w:tc>
        <w:tc>
          <w:tcPr>
            <w:tcW w:w="6095" w:type="dxa"/>
            <w:vAlign w:val="center"/>
          </w:tcPr>
          <w:p w14:paraId="2BBD03E8"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Tidak ada nomor pallet, aktual ada, data di WMS tidak ada.</w:t>
            </w:r>
          </w:p>
        </w:tc>
        <w:tc>
          <w:tcPr>
            <w:tcW w:w="1134" w:type="dxa"/>
            <w:vAlign w:val="center"/>
          </w:tcPr>
          <w:p w14:paraId="0D4B9654"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r>
      <w:tr w:rsidR="00C445AC" w:rsidRPr="00C445AC" w14:paraId="0359FC29" w14:textId="77777777" w:rsidTr="00432672">
        <w:trPr>
          <w:trHeight w:val="20"/>
        </w:trPr>
        <w:tc>
          <w:tcPr>
            <w:tcW w:w="704" w:type="dxa"/>
            <w:vAlign w:val="center"/>
          </w:tcPr>
          <w:p w14:paraId="5D12A426"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4</w:t>
            </w:r>
          </w:p>
        </w:tc>
        <w:tc>
          <w:tcPr>
            <w:tcW w:w="6095" w:type="dxa"/>
            <w:vAlign w:val="center"/>
          </w:tcPr>
          <w:p w14:paraId="2F3039DF"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Terdapat dua barang dalam satu nomor pallet.</w:t>
            </w:r>
          </w:p>
        </w:tc>
        <w:tc>
          <w:tcPr>
            <w:tcW w:w="1134" w:type="dxa"/>
            <w:vAlign w:val="center"/>
          </w:tcPr>
          <w:p w14:paraId="6828E159"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r>
      <w:tr w:rsidR="00C445AC" w:rsidRPr="00C445AC" w14:paraId="1453E56C" w14:textId="77777777" w:rsidTr="00432672">
        <w:trPr>
          <w:trHeight w:val="20"/>
        </w:trPr>
        <w:tc>
          <w:tcPr>
            <w:tcW w:w="704" w:type="dxa"/>
            <w:vAlign w:val="center"/>
          </w:tcPr>
          <w:p w14:paraId="2E2B68CB"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5</w:t>
            </w:r>
          </w:p>
        </w:tc>
        <w:tc>
          <w:tcPr>
            <w:tcW w:w="6095" w:type="dxa"/>
            <w:vAlign w:val="center"/>
          </w:tcPr>
          <w:p w14:paraId="525FFA8D"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Nomor pallet di WMS tidak sesuai dengan barang.</w:t>
            </w:r>
          </w:p>
        </w:tc>
        <w:tc>
          <w:tcPr>
            <w:tcW w:w="1134" w:type="dxa"/>
            <w:vAlign w:val="center"/>
          </w:tcPr>
          <w:p w14:paraId="471BE603"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r>
      <w:tr w:rsidR="00C445AC" w:rsidRPr="00C445AC" w14:paraId="3A987489" w14:textId="77777777" w:rsidTr="00432672">
        <w:trPr>
          <w:trHeight w:val="20"/>
        </w:trPr>
        <w:tc>
          <w:tcPr>
            <w:tcW w:w="704" w:type="dxa"/>
            <w:vAlign w:val="center"/>
          </w:tcPr>
          <w:p w14:paraId="71951C06"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6</w:t>
            </w:r>
          </w:p>
        </w:tc>
        <w:tc>
          <w:tcPr>
            <w:tcW w:w="6095" w:type="dxa"/>
            <w:vAlign w:val="center"/>
          </w:tcPr>
          <w:p w14:paraId="00611070"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Aktual tidak ada, data di WMS ada.</w:t>
            </w:r>
          </w:p>
        </w:tc>
        <w:tc>
          <w:tcPr>
            <w:tcW w:w="1134" w:type="dxa"/>
            <w:vAlign w:val="center"/>
          </w:tcPr>
          <w:p w14:paraId="26C04EB6"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3</w:t>
            </w:r>
          </w:p>
        </w:tc>
      </w:tr>
      <w:tr w:rsidR="00C445AC" w:rsidRPr="00C445AC" w14:paraId="7AAE59A2" w14:textId="77777777" w:rsidTr="00432672">
        <w:trPr>
          <w:trHeight w:val="20"/>
        </w:trPr>
        <w:tc>
          <w:tcPr>
            <w:tcW w:w="704" w:type="dxa"/>
            <w:vAlign w:val="center"/>
          </w:tcPr>
          <w:p w14:paraId="05BB7A86"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7</w:t>
            </w:r>
          </w:p>
        </w:tc>
        <w:tc>
          <w:tcPr>
            <w:tcW w:w="6095" w:type="dxa"/>
            <w:vAlign w:val="center"/>
          </w:tcPr>
          <w:p w14:paraId="0458167D"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Lokasi tidak sesuai antara data di WMS dengan kondisi aktual</w:t>
            </w:r>
          </w:p>
        </w:tc>
        <w:tc>
          <w:tcPr>
            <w:tcW w:w="1134" w:type="dxa"/>
            <w:vAlign w:val="center"/>
          </w:tcPr>
          <w:p w14:paraId="4263688A"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r>
      <w:tr w:rsidR="00C445AC" w:rsidRPr="00C445AC" w14:paraId="03C3B8A1" w14:textId="77777777" w:rsidTr="00432672">
        <w:trPr>
          <w:trHeight w:val="20"/>
        </w:trPr>
        <w:tc>
          <w:tcPr>
            <w:tcW w:w="704" w:type="dxa"/>
            <w:vAlign w:val="center"/>
          </w:tcPr>
          <w:p w14:paraId="0DB1A473"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8</w:t>
            </w:r>
          </w:p>
        </w:tc>
        <w:tc>
          <w:tcPr>
            <w:tcW w:w="6095" w:type="dxa"/>
            <w:vAlign w:val="center"/>
          </w:tcPr>
          <w:p w14:paraId="72FE8858" w14:textId="77777777" w:rsidR="00C445AC" w:rsidRPr="00C445AC" w:rsidRDefault="00C445AC" w:rsidP="00C445AC">
            <w:pPr>
              <w:spacing w:line="360" w:lineRule="auto"/>
              <w:rPr>
                <w:rFonts w:ascii="Times New Roman" w:hAnsi="Times New Roman" w:cs="Times New Roman"/>
                <w:sz w:val="24"/>
                <w:szCs w:val="24"/>
              </w:rPr>
            </w:pPr>
            <w:r w:rsidRPr="00C445AC">
              <w:rPr>
                <w:rFonts w:ascii="Times New Roman" w:hAnsi="Times New Roman" w:cs="Times New Roman"/>
                <w:sz w:val="24"/>
                <w:szCs w:val="24"/>
              </w:rPr>
              <w:t>Terjadi kebocoran.</w:t>
            </w:r>
          </w:p>
        </w:tc>
        <w:tc>
          <w:tcPr>
            <w:tcW w:w="1134" w:type="dxa"/>
            <w:vAlign w:val="center"/>
          </w:tcPr>
          <w:p w14:paraId="29C19D7E" w14:textId="77777777" w:rsidR="00C445AC" w:rsidRPr="00C445AC" w:rsidRDefault="00C445AC" w:rsidP="00C445AC">
            <w:pPr>
              <w:spacing w:line="360" w:lineRule="auto"/>
              <w:jc w:val="center"/>
              <w:rPr>
                <w:rFonts w:ascii="Times New Roman" w:hAnsi="Times New Roman" w:cs="Times New Roman"/>
                <w:sz w:val="24"/>
                <w:szCs w:val="24"/>
              </w:rPr>
            </w:pPr>
            <w:r w:rsidRPr="00C445AC">
              <w:rPr>
                <w:rFonts w:ascii="Times New Roman" w:hAnsi="Times New Roman" w:cs="Times New Roman"/>
                <w:sz w:val="24"/>
                <w:szCs w:val="24"/>
              </w:rPr>
              <w:t>1</w:t>
            </w:r>
          </w:p>
        </w:tc>
      </w:tr>
    </w:tbl>
    <w:p w14:paraId="068EA167" w14:textId="77777777" w:rsidR="00C445AC" w:rsidRPr="00C445AC" w:rsidRDefault="00C445AC" w:rsidP="00C445AC">
      <w:pPr>
        <w:spacing w:before="240" w:line="480" w:lineRule="auto"/>
        <w:jc w:val="center"/>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Sumber : Data Primer yang diolah Penulis, 2025</w:t>
      </w:r>
    </w:p>
    <w:p w14:paraId="28D2A6A4"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 xml:space="preserve">Berdasarkan Tabel 1.1, aktivitas penyimpanan unit IBC di Gudang Selayar masih didera 19 kasus kendala operasional dan administrasi. Anomali diskrepansi </w:t>
      </w:r>
      <w:r w:rsidRPr="00C445AC">
        <w:rPr>
          <w:rFonts w:ascii="Times New Roman" w:eastAsia="Times New Roman" w:hAnsi="Times New Roman" w:cs="Times New Roman"/>
          <w:spacing w:val="-2"/>
          <w:kern w:val="0"/>
          <w:sz w:val="24"/>
          <w:szCs w:val="24"/>
          <w14:ligatures w14:val="none"/>
        </w:rPr>
        <w:lastRenderedPageBreak/>
        <w:t xml:space="preserve">data mendominasi secara signifikan, terutama kasus barang secara fisik ada tetapi tidak terinput di sistem WMS (10 temuan), serta data di WMS tercatat namun fisik barang tidak ada (3 temuan). Sisa anomali lainnya meliputi isu ketidaksesuaian nomor palet, nomor palet ganda, hingga temuan kritis berupa kebocoran fisik unit IBC. Tingginya frekuensi ketidaksesuaian data </w:t>
      </w:r>
      <w:r w:rsidRPr="00C445AC">
        <w:rPr>
          <w:rFonts w:ascii="Times New Roman" w:eastAsia="Times New Roman" w:hAnsi="Times New Roman" w:cs="Times New Roman"/>
          <w:i/>
          <w:iCs/>
          <w:spacing w:val="-2"/>
          <w:kern w:val="0"/>
          <w:sz w:val="24"/>
          <w:szCs w:val="24"/>
          <w14:ligatures w14:val="none"/>
        </w:rPr>
        <w:t>(inventory mismatch)</w:t>
      </w:r>
      <w:r w:rsidRPr="00C445AC">
        <w:rPr>
          <w:rFonts w:ascii="Times New Roman" w:eastAsia="Times New Roman" w:hAnsi="Times New Roman" w:cs="Times New Roman"/>
          <w:spacing w:val="-2"/>
          <w:kern w:val="0"/>
          <w:sz w:val="24"/>
          <w:szCs w:val="24"/>
          <w14:ligatures w14:val="none"/>
        </w:rPr>
        <w:t xml:space="preserve"> ini merupakan implikasi langsung dari metode penyimpanan acak </w:t>
      </w:r>
      <w:r w:rsidRPr="00C445AC">
        <w:rPr>
          <w:rFonts w:ascii="Times New Roman" w:eastAsia="Times New Roman" w:hAnsi="Times New Roman" w:cs="Times New Roman"/>
          <w:i/>
          <w:iCs/>
          <w:spacing w:val="-2"/>
          <w:kern w:val="0"/>
          <w:sz w:val="24"/>
          <w:szCs w:val="24"/>
          <w14:ligatures w14:val="none"/>
        </w:rPr>
        <w:t>(random storage</w:t>
      </w:r>
      <w:r w:rsidRPr="00C445AC">
        <w:rPr>
          <w:rFonts w:ascii="Times New Roman" w:eastAsia="Times New Roman" w:hAnsi="Times New Roman" w:cs="Times New Roman"/>
          <w:spacing w:val="-2"/>
          <w:kern w:val="0"/>
          <w:sz w:val="24"/>
          <w:szCs w:val="24"/>
          <w14:ligatures w14:val="none"/>
        </w:rPr>
        <w:t>). Ketiadaan kode bin location yang terstandardisasi membuat admin kesulitan memperbarui posisi barang secara real-time, sekaligus memaksa operator forklift menghabiskan waktu lebih lama untuk mencari barang secara manual. Guna mengatasi ketidakefektifan ini, diperlukan sistem administrasi pergudangan yang andal, di mana reliabilitas data WMS tersebut hanya dapat dicapai apabila didukung oleh kerapian tata letak fisik serta standardisasi fasilitas gudang yang memadai di lapangan.</w:t>
      </w:r>
    </w:p>
    <w:p w14:paraId="344F9A3A"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 xml:space="preserve">Observasi terhadap kondisi aktual di Gudang PT Syncrum Logistics mengungkap adanya ketidakselarasan mendasar antara konsep </w:t>
      </w:r>
      <w:r w:rsidRPr="00C445AC">
        <w:rPr>
          <w:rFonts w:ascii="Times New Roman" w:eastAsia="Times New Roman" w:hAnsi="Times New Roman" w:cs="Times New Roman"/>
          <w:i/>
          <w:iCs/>
          <w:spacing w:val="-2"/>
          <w:kern w:val="0"/>
          <w:sz w:val="24"/>
          <w:szCs w:val="24"/>
          <w14:ligatures w14:val="none"/>
        </w:rPr>
        <w:t>storage management</w:t>
      </w:r>
      <w:r w:rsidRPr="00C445AC">
        <w:rPr>
          <w:rFonts w:ascii="Times New Roman" w:eastAsia="Times New Roman" w:hAnsi="Times New Roman" w:cs="Times New Roman"/>
          <w:spacing w:val="-2"/>
          <w:kern w:val="0"/>
          <w:sz w:val="24"/>
          <w:szCs w:val="24"/>
          <w14:ligatures w14:val="none"/>
        </w:rPr>
        <w:t xml:space="preserve"> yang ideal dengan implementasi di lapangan. Gudang ini menampung berbagai produk IBC sebagaimana tercantum dalam Tabel 1.1 dengan aktivitas keluar-masuk yang terjadi setiap hari. Namun demikian, penataan barang masih mengandalkan pendekatan situasional tanpa strategi pengelompokan berdasarkan tingkat frekuensi pergerakan. IBC sebenarnya memiliki potensi untuk mendukung efisiensi ruang dan sistem pencatatan yang rapi sebagaimana diamanatkan Pasal 17 UU No. 7 Tahun 2014, namun praktik penempatan yang tidak terencana justru menghalangi potensi tersebut untuk terwujud. Mengacu pada pemaparan tersebut, penulis memutuskan untuk merumuskan judul </w:t>
      </w:r>
      <w:r w:rsidRPr="00C445AC">
        <w:rPr>
          <w:rFonts w:ascii="Times New Roman" w:eastAsia="Times New Roman" w:hAnsi="Times New Roman" w:cs="Times New Roman"/>
          <w:b/>
          <w:bCs/>
          <w:spacing w:val="-2"/>
          <w:kern w:val="0"/>
          <w:sz w:val="24"/>
          <w:szCs w:val="24"/>
          <w14:ligatures w14:val="none"/>
        </w:rPr>
        <w:t>“</w:t>
      </w:r>
      <w:bookmarkStart w:id="5" w:name="_Hlk212978583"/>
      <w:r w:rsidRPr="00C445AC">
        <w:rPr>
          <w:rFonts w:ascii="Times New Roman" w:eastAsia="Times New Roman" w:hAnsi="Times New Roman" w:cs="Times New Roman"/>
          <w:b/>
          <w:bCs/>
          <w:spacing w:val="-2"/>
          <w:kern w:val="0"/>
          <w:sz w:val="24"/>
          <w:szCs w:val="24"/>
          <w14:ligatures w14:val="none"/>
        </w:rPr>
        <w:t xml:space="preserve">EFEKTIVITAS PEMANFAATAN RUANG PADA </w:t>
      </w:r>
      <w:r w:rsidRPr="00C445AC">
        <w:rPr>
          <w:rFonts w:ascii="Times New Roman" w:eastAsia="Times New Roman" w:hAnsi="Times New Roman" w:cs="Times New Roman"/>
          <w:b/>
          <w:bCs/>
          <w:spacing w:val="-2"/>
          <w:kern w:val="0"/>
          <w:sz w:val="24"/>
          <w:szCs w:val="24"/>
          <w14:ligatures w14:val="none"/>
        </w:rPr>
        <w:lastRenderedPageBreak/>
        <w:t xml:space="preserve">PENYIMPANAN BARANG </w:t>
      </w:r>
      <w:r w:rsidRPr="00C445AC">
        <w:rPr>
          <w:rFonts w:ascii="Times New Roman" w:eastAsia="Times New Roman" w:hAnsi="Times New Roman" w:cs="Times New Roman"/>
          <w:b/>
          <w:bCs/>
          <w:i/>
          <w:iCs/>
          <w:spacing w:val="-2"/>
          <w:kern w:val="0"/>
          <w:sz w:val="24"/>
          <w:szCs w:val="24"/>
          <w14:ligatures w14:val="none"/>
        </w:rPr>
        <w:t>INTERMEDIATE BULK CONTAINER</w:t>
      </w:r>
      <w:r w:rsidRPr="00C445AC">
        <w:rPr>
          <w:rFonts w:ascii="Times New Roman" w:eastAsia="Times New Roman" w:hAnsi="Times New Roman" w:cs="Times New Roman"/>
          <w:b/>
          <w:bCs/>
          <w:spacing w:val="-2"/>
          <w:kern w:val="0"/>
          <w:sz w:val="24"/>
          <w:szCs w:val="24"/>
          <w14:ligatures w14:val="none"/>
        </w:rPr>
        <w:t xml:space="preserve">  DI GUDANG SELAYAR PT SYNCRUM LOGISTICS</w:t>
      </w:r>
      <w:bookmarkEnd w:id="5"/>
      <w:r w:rsidRPr="00C445AC">
        <w:rPr>
          <w:rFonts w:ascii="Times New Roman" w:eastAsia="Times New Roman" w:hAnsi="Times New Roman" w:cs="Times New Roman"/>
          <w:b/>
          <w:bCs/>
          <w:spacing w:val="-2"/>
          <w:kern w:val="0"/>
          <w:sz w:val="24"/>
          <w:szCs w:val="24"/>
          <w14:ligatures w14:val="none"/>
        </w:rPr>
        <w:t xml:space="preserve"> BEKASI”</w:t>
      </w:r>
      <w:r w:rsidRPr="00C445AC">
        <w:rPr>
          <w:rFonts w:ascii="Times New Roman" w:eastAsia="Times New Roman" w:hAnsi="Times New Roman" w:cs="Times New Roman"/>
          <w:spacing w:val="-2"/>
          <w:kern w:val="0"/>
          <w:sz w:val="24"/>
          <w:szCs w:val="24"/>
          <w14:ligatures w14:val="none"/>
        </w:rPr>
        <w:t>.</w:t>
      </w:r>
    </w:p>
    <w:p w14:paraId="6CDC62D5" w14:textId="77777777" w:rsidR="00C445AC" w:rsidRPr="00C445AC" w:rsidRDefault="00C445AC" w:rsidP="00C445AC">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6" w:name="_Toc232030307"/>
      <w:r w:rsidRPr="00C445AC">
        <w:rPr>
          <w:rFonts w:ascii="Times New Roman" w:eastAsia="Times New Roman" w:hAnsi="Times New Roman" w:cstheme="majorBidi"/>
          <w:b/>
          <w:color w:val="000000" w:themeColor="text1"/>
          <w:sz w:val="24"/>
          <w:szCs w:val="26"/>
        </w:rPr>
        <w:t>1.2 Rumusan Masalah</w:t>
      </w:r>
      <w:bookmarkEnd w:id="6"/>
      <w:r w:rsidRPr="00C445AC">
        <w:rPr>
          <w:rFonts w:ascii="Times New Roman" w:eastAsia="Times New Roman" w:hAnsi="Times New Roman" w:cstheme="majorBidi"/>
          <w:b/>
          <w:color w:val="000000" w:themeColor="text1"/>
          <w:sz w:val="24"/>
          <w:szCs w:val="26"/>
        </w:rPr>
        <w:t xml:space="preserve"> </w:t>
      </w:r>
    </w:p>
    <w:p w14:paraId="5DC87552"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 xml:space="preserve">Berdasarkan latar belakang yang sudah diuraikan terdapat masalah adanya ketidaksesuaian pencatatan stok dan proses picking. Berdasarkan masalah tersebut maka disusunlah daftar pertanyaan dalam penelitian ini sebagai berikut : </w:t>
      </w:r>
    </w:p>
    <w:p w14:paraId="6E49B303" w14:textId="77777777" w:rsidR="00C445AC" w:rsidRPr="00C445AC" w:rsidRDefault="00C445AC" w:rsidP="00C445AC">
      <w:pPr>
        <w:shd w:val="clear" w:color="auto" w:fill="FFFFFF" w:themeFill="background1"/>
        <w:spacing w:after="0" w:line="480" w:lineRule="auto"/>
        <w:ind w:left="284" w:hanging="284"/>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1. Bagaimana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p w14:paraId="1C656D55" w14:textId="77777777" w:rsidR="00C445AC" w:rsidRPr="00C445AC" w:rsidRDefault="00C445AC" w:rsidP="00C445AC">
      <w:pPr>
        <w:shd w:val="clear" w:color="auto" w:fill="FFFFFF" w:themeFill="background1"/>
        <w:spacing w:after="0" w:line="480" w:lineRule="auto"/>
        <w:ind w:left="284" w:hanging="284"/>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2. Apa saja faktor pendukung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p w14:paraId="7A201770" w14:textId="77777777" w:rsidR="00C445AC" w:rsidRPr="00C445AC" w:rsidRDefault="00C445AC" w:rsidP="00C445AC">
      <w:pPr>
        <w:shd w:val="clear" w:color="auto" w:fill="FFFFFF" w:themeFill="background1"/>
        <w:spacing w:after="0" w:line="480" w:lineRule="auto"/>
        <w:ind w:left="284" w:hanging="284"/>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3. Apa saja faktor penghambat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p w14:paraId="3C30216B" w14:textId="77777777" w:rsidR="00C445AC" w:rsidRPr="00C445AC" w:rsidRDefault="00C445AC" w:rsidP="00C445AC">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7" w:name="_Toc232030308"/>
      <w:r w:rsidRPr="00C445AC">
        <w:rPr>
          <w:rFonts w:ascii="Times New Roman" w:eastAsia="Times New Roman" w:hAnsi="Times New Roman" w:cstheme="majorBidi"/>
          <w:b/>
          <w:color w:val="000000" w:themeColor="text1"/>
          <w:sz w:val="24"/>
          <w:szCs w:val="26"/>
        </w:rPr>
        <w:t>1.3 Tujuan Penelitian</w:t>
      </w:r>
      <w:bookmarkEnd w:id="7"/>
    </w:p>
    <w:p w14:paraId="1D7ED7EC" w14:textId="77777777" w:rsidR="00C445AC" w:rsidRPr="00C445AC" w:rsidRDefault="00C445AC" w:rsidP="00C445AC">
      <w:pPr>
        <w:spacing w:after="0" w:line="480" w:lineRule="auto"/>
        <w:ind w:left="284" w:hanging="284"/>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1. Untuk menganalisis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p w14:paraId="262E283E" w14:textId="77777777" w:rsidR="00C445AC" w:rsidRPr="00C445AC" w:rsidRDefault="00C445AC" w:rsidP="00C445AC">
      <w:pPr>
        <w:spacing w:after="0" w:line="480" w:lineRule="auto"/>
        <w:ind w:left="284" w:hanging="284"/>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2. Untuk mengidentifikasi dan menganalisis faktor pendukung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p w14:paraId="53CA8C24" w14:textId="77777777" w:rsidR="00C445AC" w:rsidRPr="00C445AC" w:rsidRDefault="00C445AC" w:rsidP="00C445AC">
      <w:pPr>
        <w:spacing w:after="0" w:line="480" w:lineRule="auto"/>
        <w:ind w:left="284" w:hanging="284"/>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 xml:space="preserve">3. Untuk mengidentifikasi dan menganalisis faktor penghambat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p w14:paraId="1C6F3512" w14:textId="77777777" w:rsidR="00C445AC" w:rsidRPr="00C445AC" w:rsidRDefault="00C445AC" w:rsidP="00C445AC">
      <w:pPr>
        <w:keepNext/>
        <w:keepLines/>
        <w:spacing w:after="0" w:line="480" w:lineRule="auto"/>
        <w:jc w:val="both"/>
        <w:outlineLvl w:val="1"/>
        <w:rPr>
          <w:rFonts w:ascii="Times New Roman" w:eastAsia="Times New Roman" w:hAnsi="Times New Roman" w:cstheme="majorBidi"/>
          <w:b/>
          <w:color w:val="000000" w:themeColor="text1"/>
          <w:sz w:val="24"/>
          <w:szCs w:val="26"/>
        </w:rPr>
      </w:pPr>
      <w:bookmarkStart w:id="8" w:name="_Toc232030309"/>
      <w:r w:rsidRPr="00C445AC">
        <w:rPr>
          <w:rFonts w:ascii="Times New Roman" w:eastAsia="Times New Roman" w:hAnsi="Times New Roman" w:cstheme="majorBidi"/>
          <w:b/>
          <w:color w:val="000000" w:themeColor="text1"/>
          <w:sz w:val="24"/>
          <w:szCs w:val="26"/>
        </w:rPr>
        <w:lastRenderedPageBreak/>
        <w:t>1.4 Manfaat Penelitian</w:t>
      </w:r>
      <w:bookmarkEnd w:id="8"/>
    </w:p>
    <w:p w14:paraId="7153ADE8" w14:textId="77777777" w:rsidR="00C445AC" w:rsidRPr="00C445AC" w:rsidRDefault="00C445AC" w:rsidP="00C445AC">
      <w:pPr>
        <w:spacing w:after="0" w:line="480" w:lineRule="auto"/>
        <w:ind w:left="720" w:hanging="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1.4.1 Bagi Peneliti</w:t>
      </w:r>
    </w:p>
    <w:p w14:paraId="32438A3A" w14:textId="77777777" w:rsidR="00C445AC" w:rsidRPr="00C445AC" w:rsidRDefault="00C445AC" w:rsidP="00C445AC">
      <w:pPr>
        <w:spacing w:after="0" w:line="480" w:lineRule="auto"/>
        <w:ind w:hanging="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r>
      <w:r w:rsidRPr="00C445AC">
        <w:rPr>
          <w:rFonts w:ascii="Times New Roman" w:eastAsia="Times New Roman" w:hAnsi="Times New Roman" w:cs="Times New Roman"/>
          <w:spacing w:val="-2"/>
          <w:kern w:val="0"/>
          <w:sz w:val="24"/>
          <w:szCs w:val="24"/>
          <w14:ligatures w14:val="none"/>
        </w:rPr>
        <w:tab/>
        <w:t xml:space="preserve">Untuk memperdalam pengetahuan dan menerapkan ilmu yang diperoleh selama menempuh pendidikan di bangku perkuliahan dalam rangka menganalisis permasalahan yang terjadi di lapangan. </w:t>
      </w:r>
    </w:p>
    <w:p w14:paraId="641AB11A" w14:textId="77777777" w:rsidR="00C445AC" w:rsidRPr="00C445AC" w:rsidRDefault="00C445AC" w:rsidP="00C445AC">
      <w:pPr>
        <w:spacing w:after="0" w:line="480" w:lineRule="auto"/>
        <w:ind w:left="720" w:hanging="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1.4.2 Bagi Program Studi D-IV Manajemen dan Administrasi Logistik</w:t>
      </w:r>
    </w:p>
    <w:p w14:paraId="6F093112" w14:textId="77777777" w:rsidR="00C445AC" w:rsidRPr="00C445AC" w:rsidRDefault="00C445AC" w:rsidP="00C445AC">
      <w:pPr>
        <w:spacing w:after="0" w:line="480" w:lineRule="auto"/>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ab/>
        <w:t>Penelitian ini bisa menjadi bahan referensi penyesuaian mutu pendidikan dan pengajaran yang disesuaikan dengan kebutuhan industri serta dapat menjadi landasan untuk menjalin kerja sama yang saling menguntungkan antara program studi dan perusahaan.</w:t>
      </w:r>
    </w:p>
    <w:p w14:paraId="4EAC7EB1" w14:textId="77777777" w:rsidR="00C445AC" w:rsidRPr="00C445AC" w:rsidRDefault="00C445AC" w:rsidP="00C445AC">
      <w:pPr>
        <w:spacing w:after="0" w:line="480" w:lineRule="auto"/>
        <w:ind w:left="720" w:hanging="720"/>
        <w:jc w:val="both"/>
        <w:rPr>
          <w:rFonts w:ascii="Times New Roman" w:eastAsia="Times New Roman" w:hAnsi="Times New Roman" w:cs="Times New Roman"/>
          <w:spacing w:val="-2"/>
          <w:kern w:val="0"/>
          <w:sz w:val="24"/>
          <w:szCs w:val="24"/>
          <w14:ligatures w14:val="none"/>
        </w:rPr>
      </w:pPr>
      <w:r w:rsidRPr="00C445AC">
        <w:rPr>
          <w:rFonts w:ascii="Times New Roman" w:eastAsia="Times New Roman" w:hAnsi="Times New Roman" w:cs="Times New Roman"/>
          <w:spacing w:val="-2"/>
          <w:kern w:val="0"/>
          <w:sz w:val="24"/>
          <w:szCs w:val="24"/>
          <w14:ligatures w14:val="none"/>
        </w:rPr>
        <w:t>1.4.3 Bagi Perusahaan</w:t>
      </w:r>
    </w:p>
    <w:p w14:paraId="11000769" w14:textId="4C8D4F18" w:rsidR="00C635E0" w:rsidRPr="00C445AC" w:rsidRDefault="00C445AC" w:rsidP="00C445AC">
      <w:pPr>
        <w:spacing w:after="0" w:line="480" w:lineRule="auto"/>
        <w:ind w:firstLine="720"/>
        <w:jc w:val="both"/>
        <w:rPr>
          <w:rFonts w:ascii="Times New Roman" w:hAnsi="Times New Roman" w:cs="Times New Roman"/>
          <w:sz w:val="24"/>
          <w:szCs w:val="24"/>
        </w:rPr>
      </w:pPr>
      <w:r w:rsidRPr="00C445AC">
        <w:rPr>
          <w:rFonts w:ascii="Times New Roman" w:eastAsia="Times New Roman" w:hAnsi="Times New Roman" w:cs="Times New Roman"/>
          <w:spacing w:val="-2"/>
          <w:kern w:val="0"/>
          <w:sz w:val="24"/>
          <w:szCs w:val="24"/>
          <w14:ligatures w14:val="none"/>
        </w:rPr>
        <w:t xml:space="preserve">Diharapkan hasil penelitian ini dapat memberikan saran konstruktif bagi perusahaan guna meningkatkan efektivitas pemanfaatan ruang pada penyimpanan barang </w:t>
      </w:r>
      <w:r w:rsidRPr="00C445AC">
        <w:rPr>
          <w:rFonts w:ascii="Times New Roman" w:eastAsia="Times New Roman" w:hAnsi="Times New Roman" w:cs="Times New Roman"/>
          <w:i/>
          <w:iCs/>
          <w:spacing w:val="-2"/>
          <w:kern w:val="0"/>
          <w:sz w:val="24"/>
          <w:szCs w:val="24"/>
          <w14:ligatures w14:val="none"/>
        </w:rPr>
        <w:t>Intermediate Bulk Container</w:t>
      </w:r>
      <w:r w:rsidRPr="00C445AC">
        <w:rPr>
          <w:rFonts w:ascii="Times New Roman" w:eastAsia="Times New Roman" w:hAnsi="Times New Roman" w:cs="Times New Roman"/>
          <w:spacing w:val="-2"/>
          <w:kern w:val="0"/>
          <w:sz w:val="24"/>
          <w:szCs w:val="24"/>
          <w14:ligatures w14:val="none"/>
        </w:rPr>
        <w:t xml:space="preserve"> di gudang Selayar PT Syncrum Logistics Bekasi.</w:t>
      </w:r>
    </w:p>
    <w:sectPr w:rsidR="00C635E0" w:rsidRPr="00C445AC" w:rsidSect="00BB6872">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60193" w14:textId="77777777" w:rsidR="00F915B4" w:rsidRDefault="00F915B4">
      <w:pPr>
        <w:spacing w:after="0" w:line="240" w:lineRule="auto"/>
      </w:pPr>
      <w:r>
        <w:separator/>
      </w:r>
    </w:p>
  </w:endnote>
  <w:endnote w:type="continuationSeparator" w:id="0">
    <w:p w14:paraId="6ECC3987" w14:textId="77777777" w:rsidR="00F915B4" w:rsidRDefault="00F91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ECBF" w14:textId="77777777" w:rsidR="00BB6872" w:rsidRDefault="00BB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E56E" w14:textId="77777777" w:rsidR="00607832" w:rsidRDefault="00F915B4">
    <w:pPr>
      <w:pStyle w:val="Footer"/>
      <w:jc w:val="center"/>
    </w:pPr>
  </w:p>
  <w:p w14:paraId="5BF9750A" w14:textId="77777777" w:rsidR="00607832" w:rsidRDefault="00F91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749B" w14:textId="77777777" w:rsidR="008A19CF" w:rsidRPr="006E43D9" w:rsidRDefault="00C445AC">
    <w:pPr>
      <w:pStyle w:val="Footer"/>
      <w:jc w:val="center"/>
      <w:rPr>
        <w:rFonts w:cs="Times New Roman"/>
        <w:szCs w:val="24"/>
      </w:rPr>
    </w:pPr>
    <w:r w:rsidRPr="006E43D9">
      <w:rPr>
        <w:rFonts w:cs="Times New Roman"/>
        <w:szCs w:val="24"/>
      </w:rPr>
      <w:t>1</w:t>
    </w:r>
  </w:p>
  <w:p w14:paraId="68065BF6" w14:textId="77777777" w:rsidR="008A19CF" w:rsidRDefault="00F91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BED6" w14:textId="77777777" w:rsidR="00F915B4" w:rsidRDefault="00F915B4">
      <w:pPr>
        <w:spacing w:after="0" w:line="240" w:lineRule="auto"/>
      </w:pPr>
      <w:r>
        <w:separator/>
      </w:r>
    </w:p>
  </w:footnote>
  <w:footnote w:type="continuationSeparator" w:id="0">
    <w:p w14:paraId="1AE7D924" w14:textId="77777777" w:rsidR="00F915B4" w:rsidRDefault="00F91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F131" w14:textId="77777777" w:rsidR="00BB6872" w:rsidRDefault="00BB68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033435"/>
      <w:docPartObj>
        <w:docPartGallery w:val="Page Numbers (Top of Page)"/>
        <w:docPartUnique/>
      </w:docPartObj>
    </w:sdtPr>
    <w:sdtEndPr>
      <w:rPr>
        <w:noProof/>
      </w:rPr>
    </w:sdtEndPr>
    <w:sdtContent>
      <w:p w14:paraId="05CB75B8" w14:textId="7DCBC2A7" w:rsidR="00BB6872" w:rsidRDefault="00BB687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0DCE75" w14:textId="77777777" w:rsidR="004902AC" w:rsidRDefault="00F91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B4BE" w14:textId="77777777" w:rsidR="008A19CF" w:rsidRDefault="00F915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5AC"/>
    <w:rsid w:val="000249D6"/>
    <w:rsid w:val="00052D6D"/>
    <w:rsid w:val="00053E57"/>
    <w:rsid w:val="001B44B0"/>
    <w:rsid w:val="003817E9"/>
    <w:rsid w:val="003E2A7C"/>
    <w:rsid w:val="00447036"/>
    <w:rsid w:val="00597EDA"/>
    <w:rsid w:val="00812AB7"/>
    <w:rsid w:val="00BB6872"/>
    <w:rsid w:val="00C445AC"/>
    <w:rsid w:val="00C534A8"/>
    <w:rsid w:val="00C635E0"/>
    <w:rsid w:val="00DD414E"/>
    <w:rsid w:val="00E7480F"/>
    <w:rsid w:val="00F915B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55E8C"/>
  <w15:chartTrackingRefBased/>
  <w15:docId w15:val="{0FC92CD5-0028-49DB-B9E8-C573C0A6B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B44B0"/>
    <w:pPr>
      <w:keepNext/>
      <w:keepLines/>
      <w:spacing w:after="0" w:line="480" w:lineRule="auto"/>
      <w:jc w:val="center"/>
      <w:outlineLvl w:val="0"/>
    </w:pPr>
    <w:rPr>
      <w:rFonts w:ascii="Times New Roman" w:eastAsia="Times New Roman" w:hAnsi="Times New Roman" w:cstheme="majorBidi"/>
      <w:b/>
      <w:sz w:val="24"/>
      <w:szCs w:val="4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4B0"/>
    <w:rPr>
      <w:rFonts w:ascii="Times New Roman" w:eastAsia="Times New Roman" w:hAnsi="Times New Roman" w:cstheme="majorBidi"/>
      <w:b/>
      <w:sz w:val="24"/>
      <w:szCs w:val="40"/>
      <w:lang w:val="en-ID"/>
    </w:rPr>
  </w:style>
  <w:style w:type="table" w:styleId="TableGrid">
    <w:name w:val="Table Grid"/>
    <w:basedOn w:val="TableNormal"/>
    <w:uiPriority w:val="39"/>
    <w:rsid w:val="00C4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5AC"/>
    <w:pPr>
      <w:tabs>
        <w:tab w:val="center" w:pos="4513"/>
        <w:tab w:val="right" w:pos="9026"/>
      </w:tabs>
      <w:spacing w:after="0" w:line="240" w:lineRule="auto"/>
      <w:jc w:val="both"/>
    </w:pPr>
    <w:rPr>
      <w:rFonts w:ascii="Times New Roman" w:hAnsi="Times New Roman"/>
      <w:sz w:val="24"/>
    </w:rPr>
  </w:style>
  <w:style w:type="character" w:customStyle="1" w:styleId="HeaderChar">
    <w:name w:val="Header Char"/>
    <w:basedOn w:val="DefaultParagraphFont"/>
    <w:link w:val="Header"/>
    <w:uiPriority w:val="99"/>
    <w:rsid w:val="00C445AC"/>
    <w:rPr>
      <w:rFonts w:ascii="Times New Roman" w:hAnsi="Times New Roman"/>
      <w:sz w:val="24"/>
    </w:rPr>
  </w:style>
  <w:style w:type="paragraph" w:styleId="Footer">
    <w:name w:val="footer"/>
    <w:basedOn w:val="Normal"/>
    <w:link w:val="FooterChar"/>
    <w:uiPriority w:val="99"/>
    <w:unhideWhenUsed/>
    <w:rsid w:val="00C445AC"/>
    <w:pPr>
      <w:tabs>
        <w:tab w:val="center" w:pos="4513"/>
        <w:tab w:val="right" w:pos="9026"/>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sid w:val="00C445A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2210</Words>
  <Characters>12597</Characters>
  <Application>Microsoft Office Word</Application>
  <DocSecurity>0</DocSecurity>
  <Lines>104</Lines>
  <Paragraphs>29</Paragraphs>
  <ScaleCrop>false</ScaleCrop>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Ananda Ferdhi Danuarta</dc:creator>
  <cp:keywords/>
  <dc:description/>
  <cp:lastModifiedBy>Ananda Ferdhi Danuarta</cp:lastModifiedBy>
  <cp:revision>2</cp:revision>
  <dcterms:created xsi:type="dcterms:W3CDTF">2026-06-17T12:59:00Z</dcterms:created>
  <dcterms:modified xsi:type="dcterms:W3CDTF">2026-06-17T13:06:00Z</dcterms:modified>
</cp:coreProperties>
</file>