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58A" w14:textId="77777777" w:rsidR="0003108F" w:rsidRPr="0003108F" w:rsidRDefault="0003108F" w:rsidP="0003108F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bookmarkStart w:id="0" w:name="_Toc206165995"/>
      <w:r w:rsidRPr="00031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DAFTAR PUSTAKA</w:t>
      </w:r>
      <w:bookmarkEnd w:id="0"/>
    </w:p>
    <w:p w14:paraId="0A50FFF0" w14:textId="77777777" w:rsidR="0003108F" w:rsidRPr="003F759E" w:rsidRDefault="0003108F" w:rsidP="0003108F">
      <w:pPr>
        <w:rPr>
          <w:lang w:val="id-ID"/>
        </w:rPr>
      </w:pPr>
    </w:p>
    <w:p w14:paraId="607756F4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Arthur J. Kidnay &amp; William R. Parrish. (2004). Fundamentals of Natural Processing. CRC Press</w:t>
      </w:r>
    </w:p>
    <w:p w14:paraId="5D4FB464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ASME Water Quality Stardard. (1994). CONSENSUS ON OPERATING PRACTICES FOR THE CONTROL OF FEEDWATER AND BOILER WATER CHEMISTRY IN MODERN.</w:t>
      </w:r>
    </w:p>
    <w:p w14:paraId="55C853CB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Badan Pusat Statistik Kota Jakarta Utara. (2022). Statistik daerah Kota Jakarta Utara 2022. 1.</w:t>
      </w:r>
    </w:p>
    <w:p w14:paraId="01436911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Bengt J. G. Weibull, &amp; Alfredshem. (1972). Continuous Process for Preparing Monoalkanolamines Fromammonia and. 54.</w:t>
      </w:r>
    </w:p>
    <w:p w14:paraId="12226E3F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 Coulson, J. M. (2003). Chemical engineering. 2.</w:t>
      </w:r>
    </w:p>
    <w:p w14:paraId="75F2DC80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Figge, R., &amp; Soucaille, P. (2009). Ethanolamine production by fermentation, US2009/0325245A1. 1(19).</w:t>
      </w:r>
    </w:p>
    <w:p w14:paraId="01020102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G. Zahedi, S. A. (2009). Simulation and Optimization of Ethanol Amine Production Plant. Korean J. Chem. Eng.</w:t>
      </w:r>
    </w:p>
    <w:p w14:paraId="44ED496C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Indonesia. (2007, Agustus 16). Undang-Undang Republik Indonesia Nomor 40 Tahun 2007 tentang Perseroan Terbatas (Lembaran Negara No. 106; TLN No.4756).</w:t>
      </w:r>
    </w:p>
    <w:p w14:paraId="5E2687B4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Indonesia. (2023, Januari 3). Undang-Undang Nomor 2 Tahun 2023 tentang Pengesahan Persetujuan antara Pemerintah RI dan Pemerintah Fiji tentang Kerja Sama Bidang Pertahanan (Lembaran Negara No.2-TM No.6843).</w:t>
      </w:r>
    </w:p>
    <w:p w14:paraId="0730F709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J. M. Smith, H. C. (2001). Chemical Engineering Thermodynamics. McGraw-Hill.</w:t>
      </w:r>
    </w:p>
    <w:p w14:paraId="7C81C44C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Jack Broughton. 1994. Utility Process System. IchemE</w:t>
      </w:r>
    </w:p>
    <w:p w14:paraId="19548203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Johnson, Jr., F. L. (1984). Selective Production </w:t>
      </w:r>
      <w:proofErr w:type="gramStart"/>
      <w:r w:rsidRPr="009F2972">
        <w:rPr>
          <w:rFonts w:ascii="Times New Roman" w:hAnsi="Times New Roman" w:cs="Times New Roman"/>
        </w:rPr>
        <w:t>Of</w:t>
      </w:r>
      <w:proofErr w:type="gramEnd"/>
      <w:r w:rsidRPr="009F2972">
        <w:rPr>
          <w:rFonts w:ascii="Times New Roman" w:hAnsi="Times New Roman" w:cs="Times New Roman"/>
        </w:rPr>
        <w:t xml:space="preserve"> Monoalkanolamines </w:t>
      </w:r>
      <w:proofErr w:type="gramStart"/>
      <w:r w:rsidRPr="009F2972">
        <w:rPr>
          <w:rFonts w:ascii="Times New Roman" w:hAnsi="Times New Roman" w:cs="Times New Roman"/>
        </w:rPr>
        <w:t>From</w:t>
      </w:r>
      <w:proofErr w:type="gramEnd"/>
      <w:r w:rsidRPr="009F2972">
        <w:rPr>
          <w:rFonts w:ascii="Times New Roman" w:hAnsi="Times New Roman" w:cs="Times New Roman"/>
        </w:rPr>
        <w:t xml:space="preserve"> Alkylene Oxides A nd Ammonia Over Acidic Inorganic Catalysts. 77(19), 1–4.</w:t>
      </w:r>
    </w:p>
    <w:p w14:paraId="5A0C5DDE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Jr, J. (1984). US Patent 4,438,281. </w:t>
      </w:r>
    </w:p>
    <w:p w14:paraId="2779F101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Ketenagakerjaan, M. (2016). Peraturan Menteri Ketenagakerjaan Nomor 6 Tahun 2016 tentang Tunjangan Hari Raya Keagamaan bagi Pekerja/Buruh di Perusahaan. Kementerian Ketenagakerjaan, 8.</w:t>
      </w:r>
    </w:p>
    <w:p w14:paraId="0C1F87A9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Megill, K. A. (2005). Corporate memory: Records and information management in the knowledge age. In Corporate Memory: Records and Information Management in the Knowledge Age.</w:t>
      </w:r>
    </w:p>
    <w:p w14:paraId="30A41F22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Merck. (2018). Lembar Data Keselamatan Bahan Lembar Data Keselamatan Bahan. Smart Lab, 0(1907), 1–6.</w:t>
      </w:r>
    </w:p>
    <w:p w14:paraId="234B32CC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lastRenderedPageBreak/>
        <w:t>Mulyadi, D., &amp; Maulana, R. R. (2014). Penerapan Otonomi Daerah Dalam Pembangunan Desa Application of Regional Autonomy in Village Development. Konferensi Nasional Ilmu Administrasi, 1–4. http://knia.stialanbandung.ac.id/index.php/knia/article/view/197/pdf</w:t>
      </w:r>
    </w:p>
    <w:p w14:paraId="16E86E9D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Musyafa’, I. A. (2016). Hazard and Operability Study (Hazop) and Safety Integrity Level (Sil) By Fault Tree Analysis (Fta) Method </w:t>
      </w:r>
      <w:proofErr w:type="gramStart"/>
      <w:r w:rsidRPr="009F2972">
        <w:rPr>
          <w:rFonts w:ascii="Times New Roman" w:hAnsi="Times New Roman" w:cs="Times New Roman"/>
        </w:rPr>
        <w:t>To</w:t>
      </w:r>
      <w:proofErr w:type="gramEnd"/>
      <w:r w:rsidRPr="009F2972">
        <w:rPr>
          <w:rFonts w:ascii="Times New Roman" w:hAnsi="Times New Roman" w:cs="Times New Roman"/>
        </w:rPr>
        <w:t xml:space="preserve"> Fuel Gas Superheat Burner Unit Ammonia Pt. Petrokimia Gresik Amarendra Bagus Prakoso Nrp 2412 100 028.</w:t>
      </w:r>
    </w:p>
    <w:p w14:paraId="6DE840D8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Nabila, A. Y., Tanjung, N., Daulay, S., &amp; Hasibuan, A. (2024). Penerapan K3 (Keselamatan dan Kesehatan </w:t>
      </w:r>
      <w:proofErr w:type="gramStart"/>
      <w:r w:rsidRPr="009F2972">
        <w:rPr>
          <w:rFonts w:ascii="Times New Roman" w:hAnsi="Times New Roman" w:cs="Times New Roman"/>
        </w:rPr>
        <w:t>Kerja )</w:t>
      </w:r>
      <w:proofErr w:type="gramEnd"/>
      <w:r w:rsidRPr="009F2972">
        <w:rPr>
          <w:rFonts w:ascii="Times New Roman" w:hAnsi="Times New Roman" w:cs="Times New Roman"/>
        </w:rPr>
        <w:t xml:space="preserve"> Pada Karyawan Pabrik Kripik Tuntungan Dalam Upaya Mencegah Kecelakaan Kerja. Quantum </w:t>
      </w:r>
      <w:proofErr w:type="gramStart"/>
      <w:r w:rsidRPr="009F2972">
        <w:rPr>
          <w:rFonts w:ascii="Times New Roman" w:hAnsi="Times New Roman" w:cs="Times New Roman"/>
        </w:rPr>
        <w:t>Wellness :</w:t>
      </w:r>
      <w:proofErr w:type="gramEnd"/>
      <w:r w:rsidRPr="009F2972">
        <w:rPr>
          <w:rFonts w:ascii="Times New Roman" w:hAnsi="Times New Roman" w:cs="Times New Roman"/>
        </w:rPr>
        <w:t xml:space="preserve"> Jurnal Ilmu Kesehatan</w:t>
      </w:r>
    </w:p>
    <w:p w14:paraId="020C8713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Of Indian Standards, B. (2005). IS 10392: Specification for Feed Water and Boiler Water for Low and Medium Pressure Land Boilers.</w:t>
      </w:r>
    </w:p>
    <w:p w14:paraId="35A686E5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Pajak, D. J. (2008). Undang-Undang Pajak Penghasilan. Kemenkeu RI, 1.</w:t>
      </w:r>
    </w:p>
    <w:p w14:paraId="5091D25D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Peschel. (2004). US Patent 6,696,610. </w:t>
      </w:r>
    </w:p>
    <w:p w14:paraId="05401C18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Pingxiang Gophin Chemical (2025)</w:t>
      </w:r>
    </w:p>
    <w:p w14:paraId="07828430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Pipit Muliyah, Dyah Aminatun, Sukma Septian Nasution, Tommy Hastomo, Setiana Sri Wahyuni Sitepu, T. (2020). </w:t>
      </w:r>
      <w:r w:rsidRPr="009F2972">
        <w:rPr>
          <w:rFonts w:ascii="MS Gothic" w:eastAsia="MS Gothic" w:hAnsi="MS Gothic" w:cs="MS Gothic" w:hint="eastAsia"/>
        </w:rPr>
        <w:t>済無</w:t>
      </w:r>
      <w:r w:rsidRPr="009F2972">
        <w:rPr>
          <w:rFonts w:ascii="Times New Roman" w:hAnsi="Times New Roman" w:cs="Times New Roman"/>
        </w:rPr>
        <w:t>No Title No Title No Title. Journal GEEJ, 7(2).</w:t>
      </w:r>
    </w:p>
    <w:p w14:paraId="3515D325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PT Panca Amara Utama Tbk (2025)</w:t>
      </w:r>
    </w:p>
    <w:p w14:paraId="215204A4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PT Polychem Indonesia Tbk (2025)</w:t>
      </w:r>
    </w:p>
    <w:p w14:paraId="6288C504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Rahmi. (2021). Bab I Pendahuluan</w:t>
      </w:r>
      <w:r w:rsidRPr="009F2972">
        <w:rPr>
          <w:rFonts w:ascii="Times New Roman" w:hAnsi="Times New Roman" w:cs="Times New Roman" w:hint="cs"/>
        </w:rPr>
        <w:t>با</w:t>
      </w:r>
      <w:r w:rsidRPr="009F2972">
        <w:rPr>
          <w:rFonts w:ascii="Times New Roman" w:hAnsi="Times New Roman" w:cs="Times New Roman"/>
        </w:rPr>
        <w:t xml:space="preserve"> </w:t>
      </w:r>
      <w:r w:rsidRPr="009F2972">
        <w:rPr>
          <w:rFonts w:ascii="Times New Roman" w:hAnsi="Times New Roman" w:cs="Times New Roman" w:hint="cs"/>
        </w:rPr>
        <w:t>حض</w:t>
      </w:r>
      <w:r w:rsidRPr="009F2972">
        <w:rPr>
          <w:rFonts w:ascii="Times New Roman" w:hAnsi="Times New Roman" w:cs="Times New Roman"/>
        </w:rPr>
        <w:t xml:space="preserve"> </w:t>
      </w:r>
      <w:r w:rsidRPr="009F2972">
        <w:rPr>
          <w:rFonts w:ascii="Times New Roman" w:hAnsi="Times New Roman" w:cs="Times New Roman" w:hint="cs"/>
        </w:rPr>
        <w:t>خ</w:t>
      </w:r>
      <w:r w:rsidRPr="009F2972">
        <w:rPr>
          <w:rFonts w:ascii="Times New Roman" w:hAnsi="Times New Roman" w:cs="Times New Roman"/>
        </w:rPr>
        <w:t xml:space="preserve"> ِ </w:t>
      </w:r>
      <w:r w:rsidRPr="009F2972">
        <w:rPr>
          <w:rFonts w:ascii="Times New Roman" w:hAnsi="Times New Roman" w:cs="Times New Roman" w:hint="cs"/>
        </w:rPr>
        <w:t>ي</w:t>
      </w:r>
      <w:r w:rsidRPr="009F2972">
        <w:rPr>
          <w:rFonts w:ascii="Times New Roman" w:hAnsi="Times New Roman" w:cs="Times New Roman"/>
        </w:rPr>
        <w:t>. Galang Tanjung, 2(2504), 1–9.</w:t>
      </w:r>
    </w:p>
    <w:p w14:paraId="33FB288F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Ramadani, D. G., &amp; Pulansari, F. (2025). Analisis risiko potensi bahaya dan pengendalian dengan metode HIRADC pada pabrik asam fosfat (Studi kasus: PT XYZ). Jurnal Teknik Industri Terintegrasi, 8(1). https://doi.org/10.31004/jutin.v8i1.39465</w:t>
      </w:r>
    </w:p>
    <w:p w14:paraId="454FC453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Ramadhan, A. R., &amp; Momon, A. (2022). Tinjauan Keselamatan Kerja dengan Metode Hazard and Operability Study (Hazop) (Studi Kasus di UMKM XYZ). Jurnal Ilmiah Wahana Pendidikan, 8(9), 30–38. https://doi.org/10.5281/zenodo.6629964</w:t>
      </w:r>
    </w:p>
    <w:p w14:paraId="202B7DD8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Republik Indonesia. (2015, Oktober 23). Peraturan Pemerintah Republik Indonesia Nomor 78 Tahun 2015 tentang Pengupahan (Lembaran Negara No.237; TLN No.5747).</w:t>
      </w:r>
    </w:p>
    <w:p w14:paraId="3F878B34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Rofandi, M. N., &amp; Irwanto. (2022). Sistem Kerja Electrostatic Precipitator (ESP) Untuk Menangkap Abu Hasil Proses Pembakaran di PLTU PT. Dian Swastatika Sentosa Serang Power Plant. G-Tech: Jurnal Teknologi Terapan, 6(2), 376–386. https://doi.org/10.33379/gtech.v6i2.1743</w:t>
      </w:r>
    </w:p>
    <w:p w14:paraId="4DF42B86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SaThierbach, K., Petrovic, S., Schilbach, S., Mayo, D. J., Perriches, T., Rundlet, E. J. E. J. E. J., Jeon, Y. E., Collins, L. N. L. N., Huber, F. M. F. M., Lin, D. D. H. D. H., Paduch, M., Koide, A., Lu, V. T., Fischer, J., Hurt, E., Koide, S., Kossiakoff, A. A., Hoelz, A., Hawryluk-gara, L. A., … Hoelz, A. (2015). No </w:t>
      </w:r>
      <w:r w:rsidRPr="009F2972">
        <w:rPr>
          <w:rFonts w:ascii="MS Gothic" w:eastAsia="MS Gothic" w:hAnsi="MS Gothic" w:cs="MS Gothic" w:hint="eastAsia"/>
        </w:rPr>
        <w:t>主観的健康感を中心とした在宅高</w:t>
      </w:r>
      <w:r w:rsidRPr="009F2972">
        <w:rPr>
          <w:rFonts w:ascii="MS Gothic" w:eastAsia="MS Gothic" w:hAnsi="MS Gothic" w:cs="MS Gothic" w:hint="eastAsia"/>
        </w:rPr>
        <w:lastRenderedPageBreak/>
        <w:t>齢者における</w:t>
      </w:r>
      <w:r w:rsidRPr="009F2972">
        <w:rPr>
          <w:rFonts w:ascii="Times New Roman" w:hAnsi="Times New Roman" w:cs="Times New Roman"/>
        </w:rPr>
        <w:t xml:space="preserve"> </w:t>
      </w:r>
      <w:r w:rsidRPr="009F2972">
        <w:rPr>
          <w:rFonts w:ascii="MS Gothic" w:eastAsia="MS Gothic" w:hAnsi="MS Gothic" w:cs="MS Gothic" w:hint="eastAsia"/>
        </w:rPr>
        <w:t>健康関連指標に関する共分散構造分析</w:t>
      </w:r>
      <w:r w:rsidRPr="009F2972">
        <w:rPr>
          <w:rFonts w:ascii="Times New Roman" w:hAnsi="Times New Roman" w:cs="Times New Roman"/>
        </w:rPr>
        <w:t>Title. In Proceedings of the National Academy of Sciences (Vol. 3, Issue 1). http://dx.doi.org/10.1016/j.bpj.2015.06.056%0Ahttps://academic.oup.com/bioinformatics/article-abstract/34/13/2201/4852827%0Ainternal-pdf://semisupervised-3254828305/semisupervised.ppt%0Ahttp://dx.doi.org/10.1016/j.str.2013.02.005%0Ahttp://dx.doi.org/10.10</w:t>
      </w:r>
    </w:p>
    <w:p w14:paraId="2B368128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SNI 03-6197-2000 Standar Nasional Indonesia Badan Standardisasi Nasional Konservasi energi pada sistem pencahayaan. (n.d.).</w:t>
      </w:r>
    </w:p>
    <w:p w14:paraId="6505AE53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Speight, J. G. (2002). Chemical and Process Design Handbook. McGraw-Hill.</w:t>
      </w:r>
    </w:p>
    <w:p w14:paraId="25FD9B58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Strigle, R. F. (1994). Packed Tower Design and Applications-Random and Structured Packings Second Edition. Gulf Publishing Company.</w:t>
      </w:r>
    </w:p>
    <w:p w14:paraId="0D3D35BF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Tenaga, M., &amp; Republik, K. (1993). Peraturan Menteri Tenaga Kerja Republik Indonesia Nomor Per-02/Men/ 1993 Tahun 1993 Tentang Kesepakatan Kerja Waktu Tertentu. http://sendokgula.files.wordpress.com/2011/07/0198_per_02_men_1993-ttng-pkwt.pdf</w:t>
      </w:r>
    </w:p>
    <w:p w14:paraId="00438B66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Trapalis CC, Keivanidis P, &amp; Kordas G. (2003). Raymond E Kirk_ Donald F Othmer_ Martin Grayson_ David Eckroth_ et al-Kirk-Othmer Encyclopedia of Chemical Technology Vol 5 -</w:t>
      </w:r>
      <w:proofErr w:type="gramStart"/>
      <w:r w:rsidRPr="009F2972">
        <w:rPr>
          <w:rFonts w:ascii="Times New Roman" w:hAnsi="Times New Roman" w:cs="Times New Roman"/>
        </w:rPr>
        <w:t>Wiley  (</w:t>
      </w:r>
      <w:proofErr w:type="gramEnd"/>
      <w:r w:rsidRPr="009F2972">
        <w:rPr>
          <w:rFonts w:ascii="Times New Roman" w:hAnsi="Times New Roman" w:cs="Times New Roman"/>
        </w:rPr>
        <w:t>2004) (Vol. 5, pp. 186–190).</w:t>
      </w:r>
    </w:p>
    <w:p w14:paraId="3A478592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Ummah, M. S. (2019). No </w:t>
      </w:r>
      <w:r w:rsidRPr="009F2972">
        <w:rPr>
          <w:rFonts w:ascii="MS Gothic" w:eastAsia="MS Gothic" w:hAnsi="MS Gothic" w:cs="MS Gothic" w:hint="eastAsia"/>
        </w:rPr>
        <w:t>主観的健康感を中心とした在宅高齢者における</w:t>
      </w:r>
      <w:r w:rsidRPr="009F2972">
        <w:rPr>
          <w:rFonts w:ascii="Times New Roman" w:hAnsi="Times New Roman" w:cs="Times New Roman"/>
        </w:rPr>
        <w:t xml:space="preserve"> </w:t>
      </w:r>
      <w:r w:rsidRPr="009F2972">
        <w:rPr>
          <w:rFonts w:ascii="MS Gothic" w:eastAsia="MS Gothic" w:hAnsi="MS Gothic" w:cs="MS Gothic" w:hint="eastAsia"/>
        </w:rPr>
        <w:t>健康関連指標に関する共分散構造分析</w:t>
      </w:r>
      <w:r w:rsidRPr="009F2972">
        <w:rPr>
          <w:rFonts w:ascii="Times New Roman" w:hAnsi="Times New Roman" w:cs="Times New Roman"/>
        </w:rPr>
        <w:t>Title. In Sustainability (Switzerland) (Vol. 11, Issue 1). http://scioteca.caf.com/bitstream/handle/123456789/1091/RED2017-Eng-8ene.pdf?sequence=12&amp;isAllowed=y%0Ahttp://dx.doi.org/10.1016/j.regsciurbeco.2008.06.005%0Ahttps://www.researchgate.net/publication/305320484_SISTEM_PEMBETUNGAN_TERPUSAT_STRATEGI_MELESTARI</w:t>
      </w:r>
    </w:p>
    <w:p w14:paraId="64DC10BF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Van Amsterdam, M. F. (2018). Factorial Techniques applied in Chemical Plant Cost </w:t>
      </w:r>
      <w:proofErr w:type="gramStart"/>
      <w:r w:rsidRPr="009F2972">
        <w:rPr>
          <w:rFonts w:ascii="Times New Roman" w:hAnsi="Times New Roman" w:cs="Times New Roman"/>
        </w:rPr>
        <w:t>Estimation :</w:t>
      </w:r>
      <w:proofErr w:type="gramEnd"/>
      <w:r w:rsidRPr="009F2972">
        <w:rPr>
          <w:rFonts w:ascii="Times New Roman" w:hAnsi="Times New Roman" w:cs="Times New Roman"/>
        </w:rPr>
        <w:t xml:space="preserve"> A Comparative Study based on Literature and Cases. Chemical Engineering, 158.</w:t>
      </w:r>
    </w:p>
    <w:p w14:paraId="697B6E63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Veera Gnaneswar Gude. (2018). Sustainable Desalination Handbook. https://doi.org/10.1016/C2015-0-04758-X</w:t>
      </w:r>
    </w:p>
    <w:p w14:paraId="3F46C799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Villbrandt. (1959). Cf-tri-mysore 4827. (n.d.).</w:t>
      </w:r>
    </w:p>
    <w:p w14:paraId="1964072F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Vimalasari, T. (2016). Hazard and Operability Study (HAZOP) dan Penentuan Safety Integrity Level (SIL) pada Boiler SB-02 PT. SMART Tbk Surabaya. 1–53.</w:t>
      </w:r>
    </w:p>
    <w:p w14:paraId="2D745E4E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>Warren L. McCabe, J. C. (2001). Unit Operations of Chemical Engineering. McGraw-Hill.</w:t>
      </w:r>
    </w:p>
    <w:p w14:paraId="6452B412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t xml:space="preserve">Widiatmika, K. P. (2015). No </w:t>
      </w:r>
      <w:r w:rsidRPr="009F2972">
        <w:rPr>
          <w:rFonts w:ascii="MS Gothic" w:eastAsia="MS Gothic" w:hAnsi="MS Gothic" w:cs="MS Gothic" w:hint="eastAsia"/>
        </w:rPr>
        <w:t>主観的健康感を中心とした在宅高齢者における</w:t>
      </w:r>
      <w:r w:rsidRPr="009F2972">
        <w:rPr>
          <w:rFonts w:ascii="Times New Roman" w:hAnsi="Times New Roman" w:cs="Times New Roman"/>
        </w:rPr>
        <w:t xml:space="preserve"> </w:t>
      </w:r>
      <w:r w:rsidRPr="009F2972">
        <w:rPr>
          <w:rFonts w:ascii="MS Gothic" w:eastAsia="MS Gothic" w:hAnsi="MS Gothic" w:cs="MS Gothic" w:hint="eastAsia"/>
        </w:rPr>
        <w:t>健康関連指標に関する共分散構造分析</w:t>
      </w:r>
      <w:r w:rsidRPr="009F2972">
        <w:rPr>
          <w:rFonts w:ascii="Times New Roman" w:hAnsi="Times New Roman" w:cs="Times New Roman"/>
        </w:rPr>
        <w:t xml:space="preserve">Title. In Etika Jurnalisme Pada Koran </w:t>
      </w:r>
      <w:proofErr w:type="gramStart"/>
      <w:r w:rsidRPr="009F2972">
        <w:rPr>
          <w:rFonts w:ascii="Times New Roman" w:hAnsi="Times New Roman" w:cs="Times New Roman"/>
        </w:rPr>
        <w:t>Kuning :</w:t>
      </w:r>
      <w:proofErr w:type="gramEnd"/>
      <w:r w:rsidRPr="009F2972">
        <w:rPr>
          <w:rFonts w:ascii="Times New Roman" w:hAnsi="Times New Roman" w:cs="Times New Roman"/>
        </w:rPr>
        <w:t xml:space="preserve"> Sebuah Studi Mengenai Koran Lampu Hijau (Vol. 16, Issue 2).</w:t>
      </w:r>
    </w:p>
    <w:p w14:paraId="53D2F94B" w14:textId="77777777" w:rsidR="0003108F" w:rsidRPr="009F2972" w:rsidRDefault="0003108F" w:rsidP="0003108F">
      <w:pPr>
        <w:ind w:left="720" w:hanging="720"/>
        <w:jc w:val="both"/>
        <w:rPr>
          <w:rFonts w:ascii="Times New Roman" w:hAnsi="Times New Roman" w:cs="Times New Roman"/>
        </w:rPr>
      </w:pPr>
      <w:r w:rsidRPr="009F2972">
        <w:rPr>
          <w:rFonts w:ascii="Times New Roman" w:hAnsi="Times New Roman" w:cs="Times New Roman"/>
        </w:rPr>
        <w:lastRenderedPageBreak/>
        <w:t>Yaws, C. L. (1999). Physical, Thermodynamic, Environmental, Transport, Safety, and Health Related Properties for Organic and Inorganic Chemicals. McGraw-Hill.</w:t>
      </w:r>
    </w:p>
    <w:p w14:paraId="5FB29B85" w14:textId="77777777" w:rsidR="0095105F" w:rsidRDefault="0095105F"/>
    <w:sectPr w:rsidR="00951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8F"/>
    <w:rsid w:val="0003108F"/>
    <w:rsid w:val="00562337"/>
    <w:rsid w:val="0095105F"/>
    <w:rsid w:val="009E335C"/>
    <w:rsid w:val="00B3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79FE"/>
  <w15:chartTrackingRefBased/>
  <w15:docId w15:val="{E218D94D-F1C6-4AD4-9985-7A38ACC0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8F"/>
  </w:style>
  <w:style w:type="paragraph" w:styleId="Heading1">
    <w:name w:val="heading 1"/>
    <w:basedOn w:val="Normal"/>
    <w:next w:val="Normal"/>
    <w:link w:val="Heading1Char"/>
    <w:uiPriority w:val="9"/>
    <w:qFormat/>
    <w:rsid w:val="00031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Desiana Inayah</dc:creator>
  <cp:keywords/>
  <dc:description/>
  <cp:lastModifiedBy>Desiana Inayah</cp:lastModifiedBy>
  <cp:revision>1</cp:revision>
  <dcterms:created xsi:type="dcterms:W3CDTF">2025-09-21T14:03:00Z</dcterms:created>
  <dcterms:modified xsi:type="dcterms:W3CDTF">2025-09-21T14:04:00Z</dcterms:modified>
</cp:coreProperties>
</file>